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highlight w:val="yellow"/>
        </w:rPr>
        <w:id w:val="168673305"/>
        <w:docPartObj>
          <w:docPartGallery w:val="Cover Pages"/>
          <w:docPartUnique/>
        </w:docPartObj>
      </w:sdtPr>
      <w:sdtEndPr>
        <w:rPr>
          <w:rFonts w:asciiTheme="minorHAnsi" w:eastAsiaTheme="minorEastAsia" w:hAnsiTheme="minorHAnsi" w:cstheme="minorBidi"/>
          <w:caps w:val="0"/>
          <w:sz w:val="24"/>
          <w:szCs w:val="24"/>
        </w:rPr>
      </w:sdtEndPr>
      <w:sdtContent>
        <w:tbl>
          <w:tblPr>
            <w:tblW w:w="5000" w:type="pct"/>
            <w:jc w:val="center"/>
            <w:tblLook w:val="04A0" w:firstRow="1" w:lastRow="0" w:firstColumn="1" w:lastColumn="0" w:noHBand="0" w:noVBand="1"/>
          </w:tblPr>
          <w:tblGrid>
            <w:gridCol w:w="9360"/>
          </w:tblGrid>
          <w:tr w:rsidR="008A223F" w:rsidRPr="00456F29">
            <w:trPr>
              <w:trHeight w:val="2880"/>
              <w:jc w:val="center"/>
            </w:trPr>
            <w:tc>
              <w:tcPr>
                <w:tcW w:w="5000" w:type="pct"/>
              </w:tcPr>
              <w:p w:rsidR="008A223F" w:rsidRPr="00456F29" w:rsidRDefault="008A223F" w:rsidP="008A223F">
                <w:pPr>
                  <w:pStyle w:val="NoSpacing"/>
                  <w:rPr>
                    <w:rFonts w:asciiTheme="majorHAnsi" w:eastAsiaTheme="majorEastAsia" w:hAnsiTheme="majorHAnsi" w:cstheme="majorBidi"/>
                    <w:caps/>
                    <w:highlight w:val="yellow"/>
                  </w:rPr>
                </w:pPr>
                <w:r w:rsidRPr="00456F29">
                  <w:rPr>
                    <w:rFonts w:asciiTheme="majorHAnsi" w:eastAsiaTheme="majorEastAsia" w:hAnsiTheme="majorHAnsi" w:cstheme="majorBidi"/>
                    <w:caps/>
                    <w:noProof/>
                    <w:highlight w:val="yellow"/>
                  </w:rPr>
                  <w:drawing>
                    <wp:anchor distT="0" distB="0" distL="114300" distR="114300" simplePos="0" relativeHeight="251654144" behindDoc="1" locked="0" layoutInCell="1" allowOverlap="0" wp14:anchorId="5ED77F16" wp14:editId="0C334F81">
                      <wp:simplePos x="0" y="0"/>
                      <wp:positionH relativeFrom="column">
                        <wp:posOffset>19050</wp:posOffset>
                      </wp:positionH>
                      <wp:positionV relativeFrom="paragraph">
                        <wp:posOffset>0</wp:posOffset>
                      </wp:positionV>
                      <wp:extent cx="5838825" cy="1362075"/>
                      <wp:effectExtent l="19050" t="0" r="9525" b="0"/>
                      <wp:wrapSquare wrapText="bothSides"/>
                      <wp:docPr id="11" name="Picture 1" descr="KS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U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8825" cy="1362075"/>
                              </a:xfrm>
                              <a:prstGeom prst="rect">
                                <a:avLst/>
                              </a:prstGeom>
                              <a:noFill/>
                              <a:ln>
                                <a:noFill/>
                              </a:ln>
                            </pic:spPr>
                          </pic:pic>
                        </a:graphicData>
                      </a:graphic>
                    </wp:anchor>
                  </w:drawing>
                </w:r>
              </w:p>
            </w:tc>
          </w:tr>
          <w:tr w:rsidR="008A223F" w:rsidRPr="00AF37B5">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8A223F" w:rsidRPr="00AF37B5" w:rsidRDefault="008A223F" w:rsidP="008A223F">
                    <w:pPr>
                      <w:pStyle w:val="NoSpacing"/>
                      <w:jc w:val="center"/>
                      <w:rPr>
                        <w:rFonts w:asciiTheme="majorHAnsi" w:eastAsiaTheme="majorEastAsia" w:hAnsiTheme="majorHAnsi" w:cstheme="majorBidi"/>
                        <w:sz w:val="80"/>
                        <w:szCs w:val="80"/>
                      </w:rPr>
                    </w:pPr>
                    <w:r w:rsidRPr="00AF37B5">
                      <w:rPr>
                        <w:rFonts w:asciiTheme="majorHAnsi" w:eastAsiaTheme="majorEastAsia" w:hAnsiTheme="majorHAnsi" w:cstheme="majorBidi"/>
                        <w:sz w:val="80"/>
                        <w:szCs w:val="80"/>
                      </w:rPr>
                      <w:t>Agricultural Lender Survey</w:t>
                    </w:r>
                  </w:p>
                </w:tc>
              </w:sdtContent>
            </w:sdt>
          </w:tr>
          <w:tr w:rsidR="008A223F" w:rsidRPr="00AF37B5" w:rsidTr="00165991">
            <w:trPr>
              <w:trHeight w:val="1358"/>
              <w:jc w:val="center"/>
            </w:trPr>
            <w:tc>
              <w:tcPr>
                <w:tcW w:w="5000" w:type="pct"/>
                <w:vAlign w:val="center"/>
              </w:tcPr>
              <w:p w:rsidR="008A223F" w:rsidRPr="00AF37B5" w:rsidRDefault="008A223F">
                <w:pPr>
                  <w:pStyle w:val="NoSpacing"/>
                  <w:jc w:val="center"/>
                </w:pPr>
              </w:p>
              <w:p w:rsidR="008A223F" w:rsidRPr="00AF37B5" w:rsidRDefault="008A223F">
                <w:pPr>
                  <w:pStyle w:val="NoSpacing"/>
                  <w:jc w:val="center"/>
                </w:pPr>
              </w:p>
              <w:p w:rsidR="008A223F" w:rsidRPr="00AF37B5" w:rsidRDefault="008A223F">
                <w:pPr>
                  <w:pStyle w:val="NoSpacing"/>
                  <w:jc w:val="center"/>
                </w:pPr>
              </w:p>
              <w:p w:rsidR="008A223F" w:rsidRPr="00AF37B5" w:rsidRDefault="008A223F">
                <w:pPr>
                  <w:pStyle w:val="NoSpacing"/>
                  <w:jc w:val="center"/>
                </w:pPr>
              </w:p>
              <w:p w:rsidR="008A223F" w:rsidRPr="00AF37B5" w:rsidRDefault="008A223F">
                <w:pPr>
                  <w:pStyle w:val="NoSpacing"/>
                  <w:jc w:val="center"/>
                </w:pPr>
              </w:p>
            </w:tc>
          </w:tr>
          <w:tr w:rsidR="008A223F" w:rsidRPr="00AF37B5">
            <w:trPr>
              <w:trHeight w:val="360"/>
              <w:jc w:val="center"/>
            </w:trPr>
            <w:tc>
              <w:tcPr>
                <w:tcW w:w="5000" w:type="pct"/>
                <w:vAlign w:val="center"/>
              </w:tcPr>
              <w:p w:rsidR="00773B78" w:rsidRPr="00AF37B5" w:rsidRDefault="00773B78" w:rsidP="00773B78">
                <w:pPr>
                  <w:pStyle w:val="NoSpacing"/>
                  <w:rPr>
                    <w:b/>
                    <w:bCs/>
                    <w:sz w:val="24"/>
                  </w:rPr>
                </w:pPr>
              </w:p>
              <w:p w:rsidR="00773B78" w:rsidRPr="008C1EB4" w:rsidRDefault="00165991" w:rsidP="008C1EB4">
                <w:pPr>
                  <w:pStyle w:val="NoSpacing"/>
                  <w:jc w:val="center"/>
                  <w:rPr>
                    <w:b/>
                    <w:bCs/>
                    <w:sz w:val="24"/>
                    <w:vertAlign w:val="superscript"/>
                  </w:rPr>
                </w:pPr>
                <w:r>
                  <w:rPr>
                    <w:b/>
                    <w:bCs/>
                    <w:sz w:val="24"/>
                  </w:rPr>
                  <w:t>Brady Brewer</w:t>
                </w:r>
                <w:r w:rsidR="008C1EB4">
                  <w:rPr>
                    <w:b/>
                    <w:bCs/>
                    <w:sz w:val="24"/>
                    <w:vertAlign w:val="superscript"/>
                  </w:rPr>
                  <w:t>1</w:t>
                </w:r>
                <w:r>
                  <w:rPr>
                    <w:b/>
                    <w:bCs/>
                    <w:sz w:val="24"/>
                  </w:rPr>
                  <w:t>, Allen Featherstone</w:t>
                </w:r>
                <w:r w:rsidR="008C1EB4">
                  <w:rPr>
                    <w:b/>
                    <w:bCs/>
                    <w:sz w:val="24"/>
                    <w:vertAlign w:val="superscript"/>
                  </w:rPr>
                  <w:t>2</w:t>
                </w:r>
                <w:r>
                  <w:rPr>
                    <w:b/>
                    <w:bCs/>
                    <w:sz w:val="24"/>
                  </w:rPr>
                  <w:t>, Christine Wilson</w:t>
                </w:r>
                <w:r w:rsidR="008C1EB4">
                  <w:rPr>
                    <w:b/>
                    <w:bCs/>
                    <w:sz w:val="24"/>
                    <w:vertAlign w:val="superscript"/>
                  </w:rPr>
                  <w:t>3</w:t>
                </w:r>
                <w:r>
                  <w:rPr>
                    <w:b/>
                    <w:bCs/>
                    <w:sz w:val="24"/>
                  </w:rPr>
                  <w:t>, and Brian Briggeman</w:t>
                </w:r>
                <w:r w:rsidR="008C1EB4">
                  <w:rPr>
                    <w:b/>
                    <w:bCs/>
                    <w:sz w:val="24"/>
                    <w:vertAlign w:val="superscript"/>
                  </w:rPr>
                  <w:t>4</w:t>
                </w:r>
              </w:p>
            </w:tc>
          </w:tr>
          <w:tr w:rsidR="008A223F" w:rsidRPr="00AF37B5">
            <w:trPr>
              <w:trHeight w:val="360"/>
              <w:jc w:val="center"/>
            </w:trPr>
            <w:tc>
              <w:tcPr>
                <w:tcW w:w="5000" w:type="pct"/>
                <w:vAlign w:val="center"/>
              </w:tcPr>
              <w:p w:rsidR="008A223F" w:rsidRPr="00AF37B5" w:rsidRDefault="008A223F" w:rsidP="008A223F">
                <w:pPr>
                  <w:pStyle w:val="NoSpacing"/>
                  <w:rPr>
                    <w:b/>
                    <w:bCs/>
                    <w:sz w:val="24"/>
                  </w:rPr>
                </w:pPr>
              </w:p>
            </w:tc>
          </w:tr>
        </w:tbl>
        <w:p w:rsidR="008A223F" w:rsidRPr="00AF37B5" w:rsidRDefault="008A223F" w:rsidP="00C2641E">
          <w:pPr>
            <w:jc w:val="center"/>
            <w:rPr>
              <w:b/>
              <w:bCs/>
              <w:sz w:val="24"/>
            </w:rPr>
          </w:pPr>
        </w:p>
        <w:tbl>
          <w:tblPr>
            <w:tblpPr w:leftFromText="187" w:rightFromText="187" w:horzAnchor="margin" w:tblpXSpec="center" w:tblpYSpec="bottom"/>
            <w:tblW w:w="5000" w:type="pct"/>
            <w:tblLook w:val="04A0" w:firstRow="1" w:lastRow="0" w:firstColumn="1" w:lastColumn="0" w:noHBand="0" w:noVBand="1"/>
          </w:tblPr>
          <w:tblGrid>
            <w:gridCol w:w="9360"/>
          </w:tblGrid>
          <w:tr w:rsidR="008A223F" w:rsidRPr="00AF37B5" w:rsidTr="008A223F">
            <w:trPr>
              <w:trHeight w:val="270"/>
            </w:trPr>
            <w:tc>
              <w:tcPr>
                <w:tcW w:w="5000" w:type="pct"/>
              </w:tcPr>
              <w:p w:rsidR="008A223F" w:rsidRPr="00AF37B5" w:rsidRDefault="008A223F">
                <w:pPr>
                  <w:pStyle w:val="NoSpacing"/>
                  <w:rPr>
                    <w:b/>
                    <w:bCs/>
                    <w:sz w:val="24"/>
                  </w:rPr>
                </w:pPr>
              </w:p>
            </w:tc>
          </w:tr>
        </w:tbl>
        <w:p w:rsidR="00C2641E" w:rsidRDefault="00C2641E" w:rsidP="008A223F">
          <w:pPr>
            <w:jc w:val="center"/>
            <w:rPr>
              <w:b/>
              <w:bCs/>
              <w:sz w:val="24"/>
            </w:rPr>
          </w:pPr>
        </w:p>
        <w:p w:rsidR="008C1EB4" w:rsidRDefault="008C1EB4" w:rsidP="008C1EB4">
          <w:pPr>
            <w:pStyle w:val="FootnoteText"/>
            <w:jc w:val="center"/>
          </w:pPr>
          <w:r>
            <w:rPr>
              <w:rStyle w:val="FootnoteReference"/>
            </w:rPr>
            <w:footnoteRef/>
          </w:r>
          <w:r>
            <w:t xml:space="preserve"> Assistant Professor, University of Georgia</w:t>
          </w:r>
        </w:p>
        <w:p w:rsidR="008C1EB4" w:rsidRDefault="008C1EB4" w:rsidP="008C1EB4">
          <w:pPr>
            <w:pStyle w:val="FootnoteText"/>
            <w:jc w:val="center"/>
          </w:pPr>
          <w:r>
            <w:rPr>
              <w:rStyle w:val="FootnoteReference"/>
            </w:rPr>
            <w:t>2</w:t>
          </w:r>
          <w:r>
            <w:t xml:space="preserve"> Professor, Head and Director of the Masters of Agribusiness Program, Kansas State University</w:t>
          </w:r>
        </w:p>
        <w:p w:rsidR="008C1EB4" w:rsidRDefault="008C1EB4" w:rsidP="008C1EB4">
          <w:pPr>
            <w:pStyle w:val="FootnoteText"/>
            <w:jc w:val="center"/>
          </w:pPr>
          <w:r>
            <w:rPr>
              <w:rStyle w:val="FootnoteReference"/>
            </w:rPr>
            <w:t>3</w:t>
          </w:r>
          <w:r>
            <w:t xml:space="preserve"> Professor and Director of Undergraduate Programs, Kansas State University</w:t>
          </w:r>
        </w:p>
        <w:p w:rsidR="00C2641E" w:rsidRDefault="008C1EB4" w:rsidP="008C1EB4">
          <w:pPr>
            <w:jc w:val="center"/>
            <w:rPr>
              <w:b/>
              <w:bCs/>
              <w:sz w:val="24"/>
            </w:rPr>
          </w:pPr>
          <w:r>
            <w:rPr>
              <w:rStyle w:val="FootnoteReference"/>
            </w:rPr>
            <w:t>4</w:t>
          </w:r>
          <w:r>
            <w:t xml:space="preserve"> </w:t>
          </w:r>
          <w:r w:rsidRPr="008C1EB4">
            <w:rPr>
              <w:sz w:val="20"/>
              <w:szCs w:val="20"/>
            </w:rPr>
            <w:t>Associate Professor, Director of Arthur Capper Cooperative Center, Kansas State University</w:t>
          </w:r>
        </w:p>
        <w:p w:rsidR="008C1EB4" w:rsidRDefault="008C1EB4" w:rsidP="008C1EB4">
          <w:pPr>
            <w:jc w:val="center"/>
            <w:rPr>
              <w:b/>
              <w:bCs/>
              <w:sz w:val="24"/>
            </w:rPr>
          </w:pPr>
        </w:p>
        <w:p w:rsidR="008C1EB4" w:rsidRDefault="008C1EB4" w:rsidP="008C1EB4">
          <w:pPr>
            <w:jc w:val="center"/>
            <w:rPr>
              <w:b/>
              <w:bCs/>
              <w:sz w:val="24"/>
            </w:rPr>
          </w:pPr>
        </w:p>
        <w:p w:rsidR="008C1EB4" w:rsidRDefault="008C1EB4" w:rsidP="008C1EB4">
          <w:pPr>
            <w:jc w:val="center"/>
            <w:rPr>
              <w:b/>
              <w:bCs/>
              <w:sz w:val="24"/>
            </w:rPr>
          </w:pPr>
        </w:p>
        <w:p w:rsidR="008C1EB4" w:rsidRDefault="008C1EB4" w:rsidP="008C1EB4">
          <w:pPr>
            <w:jc w:val="center"/>
            <w:rPr>
              <w:b/>
              <w:bCs/>
              <w:sz w:val="24"/>
            </w:rPr>
          </w:pPr>
          <w:r w:rsidRPr="00AF37B5">
            <w:rPr>
              <w:b/>
              <w:bCs/>
              <w:sz w:val="24"/>
            </w:rPr>
            <w:t>Results:</w:t>
          </w:r>
          <w:r w:rsidRPr="00AF37B5">
            <w:rPr>
              <w:b/>
              <w:bCs/>
              <w:sz w:val="24"/>
            </w:rPr>
            <w:br/>
          </w:r>
          <w:r>
            <w:rPr>
              <w:b/>
              <w:bCs/>
              <w:sz w:val="24"/>
            </w:rPr>
            <w:t>Spring Survey 2016</w:t>
          </w:r>
        </w:p>
        <w:p w:rsidR="008A223F" w:rsidRPr="00456F29" w:rsidRDefault="008A223F">
          <w:pPr>
            <w:rPr>
              <w:sz w:val="24"/>
              <w:szCs w:val="24"/>
              <w:highlight w:val="yellow"/>
            </w:rPr>
          </w:pPr>
          <w:r w:rsidRPr="00456F29">
            <w:rPr>
              <w:sz w:val="24"/>
              <w:szCs w:val="24"/>
              <w:highlight w:val="yellow"/>
            </w:rPr>
            <w:br w:type="page"/>
          </w:r>
        </w:p>
      </w:sdtContent>
    </w:sdt>
    <w:p w:rsidR="00AE7762" w:rsidRPr="00165991" w:rsidRDefault="00AE7762" w:rsidP="009B4D41">
      <w:pPr>
        <w:pStyle w:val="Heading1"/>
        <w:jc w:val="center"/>
        <w:rPr>
          <w:color w:val="auto"/>
        </w:rPr>
      </w:pPr>
      <w:r w:rsidRPr="00165991">
        <w:rPr>
          <w:color w:val="auto"/>
        </w:rPr>
        <w:lastRenderedPageBreak/>
        <w:t>Survey Summary and Highlights</w:t>
      </w:r>
    </w:p>
    <w:p w:rsidR="001A21A1" w:rsidRDefault="001A21A1" w:rsidP="00AE7762">
      <w:pPr>
        <w:jc w:val="center"/>
        <w:rPr>
          <w:b/>
          <w:sz w:val="24"/>
          <w:szCs w:val="24"/>
        </w:rPr>
      </w:pPr>
    </w:p>
    <w:p w:rsidR="001A21A1" w:rsidRDefault="00897573" w:rsidP="00897573">
      <w:pPr>
        <w:jc w:val="both"/>
        <w:rPr>
          <w:sz w:val="24"/>
          <w:szCs w:val="24"/>
        </w:rPr>
      </w:pPr>
      <w:r w:rsidRPr="00897573">
        <w:rPr>
          <w:sz w:val="24"/>
          <w:szCs w:val="24"/>
        </w:rPr>
        <w:t xml:space="preserve">For the Spring 2016 edition of the agricultural lender survey, lenders from across the nation reported their expectation for interest rates, spread over cost of funds, farm dollar volume, non-performing loans, and agricultural land values. The </w:t>
      </w:r>
      <w:r w:rsidR="0041793B">
        <w:rPr>
          <w:sz w:val="24"/>
          <w:szCs w:val="24"/>
        </w:rPr>
        <w:t xml:space="preserve">major </w:t>
      </w:r>
      <w:r w:rsidRPr="00897573">
        <w:rPr>
          <w:sz w:val="24"/>
          <w:szCs w:val="24"/>
        </w:rPr>
        <w:t>theme from lender responses is that the agricultural economy is slowing and that the expectat</w:t>
      </w:r>
      <w:r>
        <w:rPr>
          <w:sz w:val="24"/>
          <w:szCs w:val="24"/>
        </w:rPr>
        <w:t>ions for relief to farmers is a few years away. This sentiment is summed up by the comments of one respondent:</w:t>
      </w:r>
    </w:p>
    <w:p w:rsidR="00897573" w:rsidRPr="009B4D41" w:rsidRDefault="00897573" w:rsidP="00897573">
      <w:pPr>
        <w:pStyle w:val="IntenseQuote"/>
        <w:rPr>
          <w:color w:val="000000" w:themeColor="text1"/>
        </w:rPr>
      </w:pPr>
      <w:r w:rsidRPr="009B4D41">
        <w:rPr>
          <w:color w:val="000000" w:themeColor="text1"/>
        </w:rPr>
        <w:t>“We are in the early stages of a major correction in the agricultural economy.  Given the accumulation of corn &amp; soybean inventories, this could be a prolonged and painful process.  Eventually an equilibrium of costs and revenues will be reached and the agricultural economy will stabilize. The producers that made conservative decisions will weather the storm, others will need to make major adjustments or fail</w:t>
      </w:r>
      <w:r w:rsidR="002C7E5C" w:rsidRPr="009B4D41">
        <w:rPr>
          <w:color w:val="000000" w:themeColor="text1"/>
        </w:rPr>
        <w:t>.”</w:t>
      </w:r>
    </w:p>
    <w:p w:rsidR="000A1661" w:rsidRPr="000A1661" w:rsidRDefault="000A1661" w:rsidP="000A1661">
      <w:pPr>
        <w:jc w:val="both"/>
        <w:rPr>
          <w:sz w:val="24"/>
          <w:szCs w:val="24"/>
        </w:rPr>
      </w:pPr>
      <w:r w:rsidRPr="000A1661">
        <w:rPr>
          <w:sz w:val="24"/>
          <w:szCs w:val="24"/>
        </w:rPr>
        <w:t>Many lenders stated that low commodity prices and stubbornly high input prices continue to put pressure on cash flows.  Below is a summary of the highlights from the Spring 2016 survey.</w:t>
      </w:r>
    </w:p>
    <w:p w:rsidR="00EB05FC" w:rsidRPr="00835012" w:rsidRDefault="00D64167" w:rsidP="00AE7762">
      <w:pPr>
        <w:pStyle w:val="ListParagraph"/>
        <w:numPr>
          <w:ilvl w:val="0"/>
          <w:numId w:val="1"/>
        </w:numPr>
        <w:rPr>
          <w:sz w:val="24"/>
          <w:szCs w:val="24"/>
        </w:rPr>
      </w:pPr>
      <w:r w:rsidRPr="00835012">
        <w:rPr>
          <w:sz w:val="24"/>
          <w:szCs w:val="24"/>
        </w:rPr>
        <w:t>Short-term expectation</w:t>
      </w:r>
      <w:r w:rsidR="000A1661">
        <w:rPr>
          <w:sz w:val="24"/>
          <w:szCs w:val="24"/>
        </w:rPr>
        <w:t>s are</w:t>
      </w:r>
      <w:r w:rsidRPr="00835012">
        <w:rPr>
          <w:sz w:val="24"/>
          <w:szCs w:val="24"/>
        </w:rPr>
        <w:t xml:space="preserve"> for land values continues to decrease.</w:t>
      </w:r>
    </w:p>
    <w:p w:rsidR="001A21A1" w:rsidRPr="00835012" w:rsidRDefault="001A21A1" w:rsidP="002E58B7">
      <w:pPr>
        <w:pStyle w:val="ListParagraph"/>
        <w:rPr>
          <w:sz w:val="24"/>
          <w:szCs w:val="24"/>
        </w:rPr>
      </w:pPr>
    </w:p>
    <w:p w:rsidR="00D64167" w:rsidRDefault="00D64167" w:rsidP="00D64167">
      <w:pPr>
        <w:pStyle w:val="ListParagraph"/>
        <w:numPr>
          <w:ilvl w:val="0"/>
          <w:numId w:val="1"/>
        </w:numPr>
        <w:rPr>
          <w:sz w:val="24"/>
          <w:szCs w:val="24"/>
        </w:rPr>
      </w:pPr>
      <w:r w:rsidRPr="00835012">
        <w:rPr>
          <w:sz w:val="24"/>
          <w:szCs w:val="24"/>
        </w:rPr>
        <w:t>Lenders indicate a reversal in the downward trend for spread over cost of funds. This is the first increase in spread over cost of funds reported since the inception</w:t>
      </w:r>
      <w:r w:rsidR="006D5F07">
        <w:rPr>
          <w:sz w:val="24"/>
          <w:szCs w:val="24"/>
        </w:rPr>
        <w:t xml:space="preserve"> of this survey in Spring 2013, and may be indications of an increased risk premium needed for agricultural lending.</w:t>
      </w:r>
    </w:p>
    <w:p w:rsidR="00897573" w:rsidRPr="00835012" w:rsidRDefault="00897573" w:rsidP="00897573">
      <w:pPr>
        <w:pStyle w:val="ListParagraph"/>
        <w:rPr>
          <w:sz w:val="24"/>
          <w:szCs w:val="24"/>
        </w:rPr>
      </w:pPr>
    </w:p>
    <w:p w:rsidR="000A1661" w:rsidRPr="00835012" w:rsidRDefault="000A1661" w:rsidP="000A1661">
      <w:pPr>
        <w:pStyle w:val="ListParagraph"/>
        <w:numPr>
          <w:ilvl w:val="0"/>
          <w:numId w:val="1"/>
        </w:numPr>
        <w:rPr>
          <w:sz w:val="24"/>
          <w:szCs w:val="24"/>
        </w:rPr>
      </w:pPr>
      <w:r>
        <w:rPr>
          <w:sz w:val="24"/>
          <w:szCs w:val="24"/>
        </w:rPr>
        <w:t xml:space="preserve">From Fall 2015 to Spring 2016, lenders noted that </w:t>
      </w:r>
      <w:r w:rsidRPr="00835012">
        <w:rPr>
          <w:sz w:val="24"/>
          <w:szCs w:val="24"/>
        </w:rPr>
        <w:t>the number of non-performing loans rose for total farm loans.</w:t>
      </w:r>
    </w:p>
    <w:p w:rsidR="001A21A1" w:rsidRPr="00835012" w:rsidRDefault="001A21A1" w:rsidP="002E58B7">
      <w:pPr>
        <w:pStyle w:val="ListParagraph"/>
        <w:rPr>
          <w:sz w:val="24"/>
          <w:szCs w:val="24"/>
        </w:rPr>
      </w:pPr>
    </w:p>
    <w:p w:rsidR="000A1661" w:rsidRPr="00835012" w:rsidRDefault="000A1661" w:rsidP="000A1661">
      <w:pPr>
        <w:pStyle w:val="ListParagraph"/>
        <w:numPr>
          <w:ilvl w:val="0"/>
          <w:numId w:val="1"/>
        </w:numPr>
        <w:rPr>
          <w:sz w:val="24"/>
          <w:szCs w:val="24"/>
        </w:rPr>
      </w:pPr>
      <w:r>
        <w:rPr>
          <w:sz w:val="24"/>
          <w:szCs w:val="24"/>
        </w:rPr>
        <w:t>Lenders expect</w:t>
      </w:r>
      <w:r w:rsidRPr="00835012">
        <w:rPr>
          <w:sz w:val="24"/>
          <w:szCs w:val="24"/>
        </w:rPr>
        <w:t xml:space="preserve"> non-performing loans to </w:t>
      </w:r>
      <w:r>
        <w:rPr>
          <w:sz w:val="24"/>
          <w:szCs w:val="24"/>
        </w:rPr>
        <w:t>continue its rise</w:t>
      </w:r>
      <w:r w:rsidRPr="00835012">
        <w:rPr>
          <w:sz w:val="24"/>
          <w:szCs w:val="24"/>
        </w:rPr>
        <w:t xml:space="preserve">, particularly for the corn and soybeans, wheat, and beef </w:t>
      </w:r>
      <w:r w:rsidR="002C7E5C">
        <w:rPr>
          <w:sz w:val="24"/>
          <w:szCs w:val="24"/>
        </w:rPr>
        <w:t>sub-</w:t>
      </w:r>
      <w:r w:rsidRPr="00835012">
        <w:rPr>
          <w:sz w:val="24"/>
          <w:szCs w:val="24"/>
        </w:rPr>
        <w:t xml:space="preserve">sectors. </w:t>
      </w:r>
    </w:p>
    <w:p w:rsidR="001A21A1" w:rsidRPr="00835012" w:rsidRDefault="001A21A1" w:rsidP="002E58B7">
      <w:pPr>
        <w:pStyle w:val="ListParagraph"/>
        <w:rPr>
          <w:sz w:val="24"/>
          <w:szCs w:val="24"/>
        </w:rPr>
      </w:pPr>
    </w:p>
    <w:p w:rsidR="002E58B7" w:rsidRPr="00835012" w:rsidRDefault="00835012" w:rsidP="00AE7762">
      <w:pPr>
        <w:pStyle w:val="ListParagraph"/>
        <w:numPr>
          <w:ilvl w:val="0"/>
          <w:numId w:val="1"/>
        </w:numPr>
        <w:rPr>
          <w:sz w:val="24"/>
          <w:szCs w:val="24"/>
        </w:rPr>
      </w:pPr>
      <w:r w:rsidRPr="00835012">
        <w:rPr>
          <w:sz w:val="24"/>
          <w:szCs w:val="24"/>
        </w:rPr>
        <w:t xml:space="preserve">Demand for farm operating loans remains high as liquidity and cash flow </w:t>
      </w:r>
      <w:r w:rsidR="006D5F07">
        <w:rPr>
          <w:sz w:val="24"/>
          <w:szCs w:val="24"/>
        </w:rPr>
        <w:t>are</w:t>
      </w:r>
      <w:r w:rsidRPr="00835012">
        <w:rPr>
          <w:sz w:val="24"/>
          <w:szCs w:val="24"/>
        </w:rPr>
        <w:t xml:space="preserve"> problematic for many producers.</w:t>
      </w:r>
    </w:p>
    <w:p w:rsidR="001A21A1" w:rsidRPr="00835012" w:rsidRDefault="001A21A1" w:rsidP="001A21A1">
      <w:pPr>
        <w:pStyle w:val="ListParagraph"/>
        <w:rPr>
          <w:sz w:val="24"/>
          <w:szCs w:val="24"/>
        </w:rPr>
      </w:pPr>
    </w:p>
    <w:p w:rsidR="000A1661" w:rsidRPr="00835012" w:rsidRDefault="000A1661" w:rsidP="000A1661">
      <w:pPr>
        <w:pStyle w:val="ListParagraph"/>
        <w:numPr>
          <w:ilvl w:val="0"/>
          <w:numId w:val="1"/>
        </w:numPr>
        <w:rPr>
          <w:sz w:val="24"/>
          <w:szCs w:val="24"/>
        </w:rPr>
      </w:pPr>
      <w:r w:rsidRPr="00835012">
        <w:rPr>
          <w:sz w:val="24"/>
          <w:szCs w:val="24"/>
        </w:rPr>
        <w:t xml:space="preserve">Respondents reported cash rental rates </w:t>
      </w:r>
      <w:r>
        <w:rPr>
          <w:sz w:val="24"/>
          <w:szCs w:val="24"/>
        </w:rPr>
        <w:t xml:space="preserve">remain elevated and </w:t>
      </w:r>
      <w:r w:rsidRPr="00835012">
        <w:rPr>
          <w:sz w:val="24"/>
          <w:szCs w:val="24"/>
        </w:rPr>
        <w:t>have been slow to adjust with the decline in commodity prices.</w:t>
      </w:r>
    </w:p>
    <w:p w:rsidR="00AE7762" w:rsidRDefault="00AE7762">
      <w:pPr>
        <w:rPr>
          <w:sz w:val="24"/>
          <w:szCs w:val="24"/>
        </w:rPr>
      </w:pPr>
      <w:r>
        <w:rPr>
          <w:sz w:val="24"/>
          <w:szCs w:val="24"/>
        </w:rPr>
        <w:br w:type="page"/>
      </w:r>
    </w:p>
    <w:p w:rsidR="006E1F8B" w:rsidRPr="006E1F8B" w:rsidRDefault="00213D5A" w:rsidP="005227C3">
      <w:pPr>
        <w:rPr>
          <w:sz w:val="24"/>
          <w:szCs w:val="24"/>
        </w:rPr>
      </w:pPr>
      <w:r w:rsidRPr="006E1F8B">
        <w:rPr>
          <w:sz w:val="24"/>
          <w:szCs w:val="24"/>
        </w:rPr>
        <w:lastRenderedPageBreak/>
        <w:t xml:space="preserve">The Department of Agricultural Economics at Kansas State University </w:t>
      </w:r>
      <w:r w:rsidR="00664CED" w:rsidRPr="006E1F8B">
        <w:rPr>
          <w:sz w:val="24"/>
          <w:szCs w:val="24"/>
        </w:rPr>
        <w:t>conducts</w:t>
      </w:r>
      <w:r w:rsidRPr="006E1F8B">
        <w:rPr>
          <w:sz w:val="24"/>
          <w:szCs w:val="24"/>
        </w:rPr>
        <w:t xml:space="preserve"> a semi-annual survey of Agricultural Lenders to gage the recent,</w:t>
      </w:r>
      <w:r w:rsidR="005155A1" w:rsidRPr="006E1F8B">
        <w:rPr>
          <w:sz w:val="24"/>
          <w:szCs w:val="24"/>
        </w:rPr>
        <w:t xml:space="preserve"> </w:t>
      </w:r>
      <w:r w:rsidR="00A82DED" w:rsidRPr="006E1F8B">
        <w:rPr>
          <w:sz w:val="24"/>
          <w:szCs w:val="24"/>
        </w:rPr>
        <w:t xml:space="preserve">short term and </w:t>
      </w:r>
      <w:r w:rsidRPr="006E1F8B">
        <w:rPr>
          <w:sz w:val="24"/>
          <w:szCs w:val="24"/>
        </w:rPr>
        <w:t xml:space="preserve">long term future assessment of the credit situation for production agriculture.  The results </w:t>
      </w:r>
      <w:r w:rsidR="00EC7F81" w:rsidRPr="006E1F8B">
        <w:rPr>
          <w:sz w:val="24"/>
          <w:szCs w:val="24"/>
        </w:rPr>
        <w:t>provide a</w:t>
      </w:r>
      <w:r w:rsidRPr="006E1F8B">
        <w:rPr>
          <w:sz w:val="24"/>
          <w:szCs w:val="24"/>
        </w:rPr>
        <w:t xml:space="preserve"> measure </w:t>
      </w:r>
      <w:r w:rsidR="00EC7F81" w:rsidRPr="006E1F8B">
        <w:rPr>
          <w:sz w:val="24"/>
          <w:szCs w:val="24"/>
        </w:rPr>
        <w:t xml:space="preserve">of </w:t>
      </w:r>
      <w:r w:rsidRPr="006E1F8B">
        <w:rPr>
          <w:sz w:val="24"/>
          <w:szCs w:val="24"/>
        </w:rPr>
        <w:t>the health of the sector in a forward looking manner.</w:t>
      </w:r>
      <w:r w:rsidR="005A6866" w:rsidRPr="006E1F8B">
        <w:rPr>
          <w:sz w:val="24"/>
          <w:szCs w:val="24"/>
        </w:rPr>
        <w:t xml:space="preserve"> </w:t>
      </w:r>
    </w:p>
    <w:p w:rsidR="005227C3" w:rsidRPr="006E1F8B" w:rsidRDefault="005227C3" w:rsidP="005227C3">
      <w:pPr>
        <w:rPr>
          <w:sz w:val="24"/>
          <w:szCs w:val="24"/>
        </w:rPr>
      </w:pPr>
      <w:r w:rsidRPr="006E1F8B">
        <w:rPr>
          <w:sz w:val="24"/>
          <w:szCs w:val="24"/>
        </w:rPr>
        <w:t xml:space="preserve">Each institution surveyed provided their sentiment on the current and expected state </w:t>
      </w:r>
      <w:r w:rsidR="006D5F07">
        <w:rPr>
          <w:sz w:val="24"/>
          <w:szCs w:val="24"/>
        </w:rPr>
        <w:t>for</w:t>
      </w:r>
      <w:r w:rsidRPr="006E1F8B">
        <w:rPr>
          <w:sz w:val="24"/>
          <w:szCs w:val="24"/>
        </w:rPr>
        <w:t xml:space="preserve">: (1) farm loan interest rates; (2) spread over cost of funds; (3) farm loan volumes; (4) non-performing loan volumes; and (5) </w:t>
      </w:r>
      <w:r w:rsidR="00860824" w:rsidRPr="006E1F8B">
        <w:rPr>
          <w:sz w:val="24"/>
          <w:szCs w:val="24"/>
        </w:rPr>
        <w:t xml:space="preserve">agricultural </w:t>
      </w:r>
      <w:r w:rsidRPr="006E1F8B">
        <w:rPr>
          <w:sz w:val="24"/>
          <w:szCs w:val="24"/>
        </w:rPr>
        <w:t>land values. Within each of these key areas, different loan types were assessed (farm real-estate, intermediate and operating loans) as well as the different agricultural sectors (corn and soybeans, wheat, beef, dairy, etc.).</w:t>
      </w:r>
    </w:p>
    <w:p w:rsidR="00315FA0" w:rsidRPr="00C474C2" w:rsidRDefault="00315FA0" w:rsidP="00315FA0">
      <w:pPr>
        <w:rPr>
          <w:rFonts w:cstheme="minorHAnsi"/>
          <w:sz w:val="24"/>
          <w:szCs w:val="24"/>
        </w:rPr>
      </w:pPr>
      <w:r w:rsidRPr="00C474C2">
        <w:rPr>
          <w:sz w:val="24"/>
          <w:szCs w:val="24"/>
        </w:rPr>
        <w:t>The survey responses are summarized using a diffusion index. This</w:t>
      </w:r>
      <w:r w:rsidRPr="00C474C2">
        <w:rPr>
          <w:rFonts w:cstheme="minorHAnsi"/>
          <w:sz w:val="24"/>
          <w:szCs w:val="24"/>
        </w:rPr>
        <w:t xml:space="preserve"> index is calculated by taking the percentage of those indicating increase minus the percentage of those indicating decrease plus 100. Therefore, an index above (below) 100 indicates respondents expect or experienced an increase (decrease) in the measure of interest. For example, Figure </w:t>
      </w:r>
      <w:r w:rsidR="000D222A">
        <w:rPr>
          <w:rFonts w:cstheme="minorHAnsi"/>
          <w:sz w:val="24"/>
          <w:szCs w:val="24"/>
        </w:rPr>
        <w:t>2</w:t>
      </w:r>
      <w:r w:rsidRPr="00C474C2">
        <w:rPr>
          <w:rFonts w:cstheme="minorHAnsi"/>
          <w:sz w:val="24"/>
          <w:szCs w:val="24"/>
        </w:rPr>
        <w:t xml:space="preserve"> illustrates that the index for the </w:t>
      </w:r>
      <w:r w:rsidR="006E1F8B" w:rsidRPr="00C474C2">
        <w:rPr>
          <w:rFonts w:cstheme="minorHAnsi"/>
          <w:sz w:val="24"/>
          <w:szCs w:val="24"/>
        </w:rPr>
        <w:t>Spring</w:t>
      </w:r>
      <w:r w:rsidR="005268E6" w:rsidRPr="00C474C2">
        <w:rPr>
          <w:rFonts w:cstheme="minorHAnsi"/>
          <w:sz w:val="24"/>
          <w:szCs w:val="24"/>
        </w:rPr>
        <w:t xml:space="preserve"> 201</w:t>
      </w:r>
      <w:r w:rsidR="006E1F8B" w:rsidRPr="00C474C2">
        <w:rPr>
          <w:rFonts w:cstheme="minorHAnsi"/>
          <w:sz w:val="24"/>
          <w:szCs w:val="24"/>
        </w:rPr>
        <w:t>6</w:t>
      </w:r>
      <w:r w:rsidR="00C605E2" w:rsidRPr="00C474C2">
        <w:rPr>
          <w:rFonts w:cstheme="minorHAnsi"/>
          <w:sz w:val="24"/>
          <w:szCs w:val="24"/>
        </w:rPr>
        <w:t xml:space="preserve"> expected long-</w:t>
      </w:r>
      <w:r w:rsidRPr="00C474C2">
        <w:rPr>
          <w:rFonts w:cstheme="minorHAnsi"/>
          <w:sz w:val="24"/>
          <w:szCs w:val="24"/>
        </w:rPr>
        <w:t xml:space="preserve">term farm real estate loan interest rates equals </w:t>
      </w:r>
      <w:r w:rsidR="005268E6" w:rsidRPr="00C474C2">
        <w:rPr>
          <w:rFonts w:cstheme="minorHAnsi"/>
          <w:sz w:val="24"/>
          <w:szCs w:val="24"/>
        </w:rPr>
        <w:t>197</w:t>
      </w:r>
      <w:r w:rsidRPr="00C474C2">
        <w:rPr>
          <w:rFonts w:cstheme="minorHAnsi"/>
          <w:sz w:val="24"/>
          <w:szCs w:val="24"/>
        </w:rPr>
        <w:t>. Th</w:t>
      </w:r>
      <w:r w:rsidR="005268E6" w:rsidRPr="00C474C2">
        <w:rPr>
          <w:rFonts w:cstheme="minorHAnsi"/>
          <w:sz w:val="24"/>
          <w:szCs w:val="24"/>
        </w:rPr>
        <w:t>is number can be described as 97</w:t>
      </w:r>
      <w:r w:rsidRPr="00C474C2">
        <w:rPr>
          <w:rFonts w:cstheme="minorHAnsi"/>
          <w:sz w:val="24"/>
          <w:szCs w:val="24"/>
        </w:rPr>
        <w:t>% more respondents felt farm real estate loan interest rates will go up in the long run than those who felt interest rates would go down.</w:t>
      </w:r>
    </w:p>
    <w:p w:rsidR="00967565" w:rsidRPr="00B078D4" w:rsidRDefault="00501268" w:rsidP="00501268">
      <w:pPr>
        <w:jc w:val="center"/>
        <w:rPr>
          <w:rFonts w:cstheme="minorHAnsi"/>
          <w:sz w:val="24"/>
          <w:szCs w:val="24"/>
          <w:highlight w:val="yellow"/>
        </w:rPr>
      </w:pPr>
      <w:r w:rsidRPr="00B078D4">
        <w:rPr>
          <w:noProof/>
          <w:highlight w:val="yellow"/>
        </w:rPr>
        <mc:AlternateContent>
          <mc:Choice Requires="wps">
            <w:drawing>
              <wp:anchor distT="0" distB="0" distL="114300" distR="114300" simplePos="0" relativeHeight="251676672" behindDoc="1" locked="0" layoutInCell="1" allowOverlap="1" wp14:anchorId="4D1F4039" wp14:editId="42EF9BDB">
                <wp:simplePos x="0" y="0"/>
                <wp:positionH relativeFrom="margin">
                  <wp:align>left</wp:align>
                </wp:positionH>
                <wp:positionV relativeFrom="paragraph">
                  <wp:posOffset>0</wp:posOffset>
                </wp:positionV>
                <wp:extent cx="3857625" cy="238125"/>
                <wp:effectExtent l="0" t="0" r="9525" b="9525"/>
                <wp:wrapTopAndBottom/>
                <wp:docPr id="23" name="Text Box 23"/>
                <wp:cNvGraphicFramePr/>
                <a:graphic xmlns:a="http://schemas.openxmlformats.org/drawingml/2006/main">
                  <a:graphicData uri="http://schemas.microsoft.com/office/word/2010/wordprocessingShape">
                    <wps:wsp>
                      <wps:cNvSpPr txBox="1"/>
                      <wps:spPr>
                        <a:xfrm>
                          <a:off x="0" y="0"/>
                          <a:ext cx="3857625" cy="238125"/>
                        </a:xfrm>
                        <a:prstGeom prst="rect">
                          <a:avLst/>
                        </a:prstGeom>
                        <a:solidFill>
                          <a:prstClr val="white"/>
                        </a:solidFill>
                        <a:ln>
                          <a:noFill/>
                        </a:ln>
                        <a:effectLst/>
                      </wps:spPr>
                      <wps:txbx>
                        <w:txbxContent>
                          <w:p w:rsidR="00E34343" w:rsidRDefault="00E34343" w:rsidP="00E34343">
                            <w:pPr>
                              <w:pStyle w:val="Caption"/>
                              <w:keepNext/>
                              <w:rPr>
                                <w:color w:val="auto"/>
                                <w:sz w:val="24"/>
                              </w:rPr>
                            </w:pPr>
                            <w:r w:rsidRPr="00E34343">
                              <w:rPr>
                                <w:color w:val="auto"/>
                                <w:sz w:val="24"/>
                              </w:rPr>
                              <w:t xml:space="preserve">Figure </w:t>
                            </w:r>
                            <w:r w:rsidRPr="00E34343">
                              <w:rPr>
                                <w:color w:val="auto"/>
                                <w:sz w:val="24"/>
                              </w:rPr>
                              <w:fldChar w:fldCharType="begin"/>
                            </w:r>
                            <w:r w:rsidRPr="00E34343">
                              <w:rPr>
                                <w:color w:val="auto"/>
                                <w:sz w:val="24"/>
                              </w:rPr>
                              <w:instrText xml:space="preserve"> SEQ Figure \* ARABIC </w:instrText>
                            </w:r>
                            <w:r w:rsidRPr="00E34343">
                              <w:rPr>
                                <w:color w:val="auto"/>
                                <w:sz w:val="24"/>
                              </w:rPr>
                              <w:fldChar w:fldCharType="separate"/>
                            </w:r>
                            <w:r w:rsidR="006E1F8B">
                              <w:rPr>
                                <w:noProof/>
                                <w:color w:val="auto"/>
                                <w:sz w:val="24"/>
                              </w:rPr>
                              <w:t>1</w:t>
                            </w:r>
                            <w:r w:rsidRPr="00E34343">
                              <w:rPr>
                                <w:color w:val="auto"/>
                                <w:sz w:val="24"/>
                              </w:rPr>
                              <w:fldChar w:fldCharType="end"/>
                            </w:r>
                            <w:r w:rsidRPr="00E34343">
                              <w:rPr>
                                <w:color w:val="auto"/>
                                <w:sz w:val="24"/>
                              </w:rPr>
                              <w:t>, Demographics of Survey Respondents</w:t>
                            </w:r>
                          </w:p>
                          <w:p w:rsidR="00501268" w:rsidRPr="00501268" w:rsidRDefault="00501268" w:rsidP="0050126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F4039" id="_x0000_t202" coordsize="21600,21600" o:spt="202" path="m,l,21600r21600,l21600,xe">
                <v:stroke joinstyle="miter"/>
                <v:path gradientshapeok="t" o:connecttype="rect"/>
              </v:shapetype>
              <v:shape id="Text Box 23" o:spid="_x0000_s1026" type="#_x0000_t202" style="position:absolute;left:0;text-align:left;margin-left:0;margin-top:0;width:303.75pt;height:18.7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" stroked="f">
                <v:textbox inset="0,0,0,0">
                  <w:txbxContent>
                    <w:p w:rsidR="00E34343" w:rsidRDefault="00E34343" w:rsidP="00E34343">
                      <w:pPr>
                        <w:pStyle w:val="Caption"/>
                        <w:keepNext/>
                        <w:rPr>
                          <w:color w:val="auto"/>
                          <w:sz w:val="24"/>
                        </w:rPr>
                      </w:pPr>
                      <w:r w:rsidRPr="00E34343">
                        <w:rPr>
                          <w:color w:val="auto"/>
                          <w:sz w:val="24"/>
                        </w:rPr>
                        <w:t xml:space="preserve">Figure </w:t>
                      </w:r>
                      <w:r w:rsidRPr="00E34343">
                        <w:rPr>
                          <w:color w:val="auto"/>
                          <w:sz w:val="24"/>
                        </w:rPr>
                        <w:fldChar w:fldCharType="begin"/>
                      </w:r>
                      <w:r w:rsidRPr="00E34343">
                        <w:rPr>
                          <w:color w:val="auto"/>
                          <w:sz w:val="24"/>
                        </w:rPr>
                        <w:instrText xml:space="preserve"> SEQ Figure \* ARABIC </w:instrText>
                      </w:r>
                      <w:r w:rsidRPr="00E34343">
                        <w:rPr>
                          <w:color w:val="auto"/>
                          <w:sz w:val="24"/>
                        </w:rPr>
                        <w:fldChar w:fldCharType="separate"/>
                      </w:r>
                      <w:r w:rsidR="006E1F8B">
                        <w:rPr>
                          <w:noProof/>
                          <w:color w:val="auto"/>
                          <w:sz w:val="24"/>
                        </w:rPr>
                        <w:t>1</w:t>
                      </w:r>
                      <w:r w:rsidRPr="00E34343">
                        <w:rPr>
                          <w:color w:val="auto"/>
                          <w:sz w:val="24"/>
                        </w:rPr>
                        <w:fldChar w:fldCharType="end"/>
                      </w:r>
                      <w:r w:rsidRPr="00E34343">
                        <w:rPr>
                          <w:color w:val="auto"/>
                          <w:sz w:val="24"/>
                        </w:rPr>
                        <w:t>, Demographics of Survey Respondents</w:t>
                      </w:r>
                    </w:p>
                    <w:p w:rsidR="00501268" w:rsidRPr="00501268" w:rsidRDefault="00501268" w:rsidP="00501268"/>
                  </w:txbxContent>
                </v:textbox>
                <w10:wrap type="topAndBottom" anchorx="margin"/>
              </v:shape>
            </w:pict>
          </mc:Fallback>
        </mc:AlternateContent>
      </w:r>
      <w:r w:rsidR="00C474C2">
        <w:rPr>
          <w:noProof/>
        </w:rPr>
        <w:drawing>
          <wp:inline distT="0" distB="0" distL="0" distR="0" wp14:anchorId="75881F9F" wp14:editId="55FB5B3C">
            <wp:extent cx="2743200" cy="2468880"/>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E1F8B" w:rsidRPr="00E24E94" w:rsidRDefault="00BC6621" w:rsidP="006E1F8B">
      <w:pPr>
        <w:rPr>
          <w:rFonts w:cstheme="minorHAnsi"/>
          <w:sz w:val="28"/>
          <w:szCs w:val="24"/>
        </w:rPr>
      </w:pPr>
      <w:r w:rsidRPr="00E24E94">
        <w:rPr>
          <w:sz w:val="24"/>
        </w:rPr>
        <w:t xml:space="preserve">Figure 1 shows the demographics of the </w:t>
      </w:r>
      <w:r w:rsidR="00C474C2" w:rsidRPr="00E24E94">
        <w:rPr>
          <w:sz w:val="24"/>
        </w:rPr>
        <w:t>Spring 2016</w:t>
      </w:r>
      <w:r w:rsidR="005A6866" w:rsidRPr="00E24E94">
        <w:rPr>
          <w:sz w:val="24"/>
        </w:rPr>
        <w:t xml:space="preserve"> </w:t>
      </w:r>
      <w:r w:rsidRPr="00E24E94">
        <w:rPr>
          <w:sz w:val="24"/>
        </w:rPr>
        <w:t>survey respondents</w:t>
      </w:r>
      <w:r w:rsidR="004A55EC" w:rsidRPr="00E24E94">
        <w:rPr>
          <w:sz w:val="24"/>
        </w:rPr>
        <w:t xml:space="preserve"> by </w:t>
      </w:r>
      <w:r w:rsidR="00AF3135" w:rsidRPr="00E24E94">
        <w:rPr>
          <w:sz w:val="24"/>
        </w:rPr>
        <w:t>primary</w:t>
      </w:r>
      <w:r w:rsidR="004A55EC" w:rsidRPr="00E24E94">
        <w:rPr>
          <w:sz w:val="24"/>
        </w:rPr>
        <w:t xml:space="preserve"> service territory</w:t>
      </w:r>
      <w:r w:rsidR="00E93C50" w:rsidRPr="00E24E94">
        <w:rPr>
          <w:sz w:val="24"/>
        </w:rPr>
        <w:t xml:space="preserve">. </w:t>
      </w:r>
      <w:r w:rsidR="004A55EC" w:rsidRPr="00E24E94">
        <w:rPr>
          <w:sz w:val="24"/>
        </w:rPr>
        <w:t xml:space="preserve">The five territories are: Midwest, West, Atlantic, South and </w:t>
      </w:r>
      <w:r w:rsidR="00AF3135" w:rsidRPr="00E24E94">
        <w:rPr>
          <w:sz w:val="24"/>
        </w:rPr>
        <w:t>Plains</w:t>
      </w:r>
      <w:r w:rsidR="004A55EC" w:rsidRPr="00E24E94">
        <w:rPr>
          <w:sz w:val="24"/>
        </w:rPr>
        <w:t>.</w:t>
      </w:r>
      <w:r w:rsidR="00C2641E" w:rsidRPr="00E24E94">
        <w:rPr>
          <w:sz w:val="24"/>
        </w:rPr>
        <w:t xml:space="preserve"> Table </w:t>
      </w:r>
      <w:r w:rsidR="00135513" w:rsidRPr="00E24E94">
        <w:rPr>
          <w:sz w:val="24"/>
        </w:rPr>
        <w:t>1</w:t>
      </w:r>
      <w:r w:rsidR="00C2641E" w:rsidRPr="00E24E94">
        <w:rPr>
          <w:sz w:val="24"/>
        </w:rPr>
        <w:t xml:space="preserve"> has a list of the states in each region.</w:t>
      </w:r>
      <w:r w:rsidR="004A55EC" w:rsidRPr="00E24E94">
        <w:rPr>
          <w:sz w:val="24"/>
        </w:rPr>
        <w:t xml:space="preserve"> </w:t>
      </w:r>
      <w:r w:rsidR="002C7E5C" w:rsidRPr="00E24E94">
        <w:rPr>
          <w:sz w:val="24"/>
        </w:rPr>
        <w:t>Fifty-four</w:t>
      </w:r>
      <w:r w:rsidR="00FB7EB8" w:rsidRPr="00E24E94">
        <w:rPr>
          <w:sz w:val="24"/>
        </w:rPr>
        <w:t xml:space="preserve"> percent</w:t>
      </w:r>
      <w:r w:rsidR="004A55EC" w:rsidRPr="00E24E94">
        <w:rPr>
          <w:sz w:val="24"/>
        </w:rPr>
        <w:t xml:space="preserve"> of survey respondents </w:t>
      </w:r>
      <w:r w:rsidR="00E93C50" w:rsidRPr="00E24E94">
        <w:rPr>
          <w:sz w:val="24"/>
        </w:rPr>
        <w:t xml:space="preserve">came from the </w:t>
      </w:r>
      <w:r w:rsidR="005A6866" w:rsidRPr="00E24E94">
        <w:rPr>
          <w:sz w:val="24"/>
        </w:rPr>
        <w:t>Plains</w:t>
      </w:r>
      <w:r w:rsidR="00E93C50" w:rsidRPr="00E24E94">
        <w:rPr>
          <w:sz w:val="24"/>
        </w:rPr>
        <w:t xml:space="preserve"> region</w:t>
      </w:r>
      <w:r w:rsidR="0026186D" w:rsidRPr="00E24E94">
        <w:rPr>
          <w:sz w:val="24"/>
        </w:rPr>
        <w:t xml:space="preserve"> while</w:t>
      </w:r>
      <w:r w:rsidR="00DE5FC4" w:rsidRPr="00E24E94">
        <w:rPr>
          <w:sz w:val="24"/>
        </w:rPr>
        <w:t xml:space="preserve"> </w:t>
      </w:r>
      <w:r w:rsidR="00C474C2" w:rsidRPr="00E24E94">
        <w:rPr>
          <w:sz w:val="24"/>
        </w:rPr>
        <w:t>32</w:t>
      </w:r>
      <w:r w:rsidR="0026186D" w:rsidRPr="00E24E94">
        <w:rPr>
          <w:sz w:val="24"/>
        </w:rPr>
        <w:t>%,</w:t>
      </w:r>
      <w:r w:rsidR="00EC7CEE" w:rsidRPr="00E24E94">
        <w:rPr>
          <w:sz w:val="24"/>
        </w:rPr>
        <w:t xml:space="preserve"> </w:t>
      </w:r>
      <w:r w:rsidR="00C474C2" w:rsidRPr="00E24E94">
        <w:rPr>
          <w:sz w:val="24"/>
        </w:rPr>
        <w:t>0</w:t>
      </w:r>
      <w:r w:rsidR="00EC7CEE" w:rsidRPr="00E24E94">
        <w:rPr>
          <w:sz w:val="24"/>
        </w:rPr>
        <w:t>%,</w:t>
      </w:r>
      <w:r w:rsidR="007E0162" w:rsidRPr="00E24E94">
        <w:rPr>
          <w:sz w:val="24"/>
        </w:rPr>
        <w:t xml:space="preserve"> </w:t>
      </w:r>
      <w:r w:rsidR="00C474C2" w:rsidRPr="00E24E94">
        <w:rPr>
          <w:sz w:val="24"/>
        </w:rPr>
        <w:t>7</w:t>
      </w:r>
      <w:r w:rsidR="00EC7CEE" w:rsidRPr="00E24E94">
        <w:rPr>
          <w:sz w:val="24"/>
        </w:rPr>
        <w:t>%</w:t>
      </w:r>
      <w:r w:rsidR="00DE5FC4" w:rsidRPr="00E24E94">
        <w:rPr>
          <w:sz w:val="24"/>
        </w:rPr>
        <w:t xml:space="preserve"> and</w:t>
      </w:r>
      <w:r w:rsidR="00EC7CEE" w:rsidRPr="00E24E94">
        <w:rPr>
          <w:sz w:val="24"/>
        </w:rPr>
        <w:t xml:space="preserve"> </w:t>
      </w:r>
      <w:r w:rsidR="00C474C2" w:rsidRPr="00E24E94">
        <w:rPr>
          <w:sz w:val="24"/>
        </w:rPr>
        <w:t>7</w:t>
      </w:r>
      <w:r w:rsidR="00DE5FC4" w:rsidRPr="00E24E94">
        <w:rPr>
          <w:sz w:val="24"/>
        </w:rPr>
        <w:t xml:space="preserve">% </w:t>
      </w:r>
      <w:r w:rsidR="0026186D" w:rsidRPr="00E24E94">
        <w:rPr>
          <w:sz w:val="24"/>
        </w:rPr>
        <w:t xml:space="preserve">came </w:t>
      </w:r>
      <w:r w:rsidR="00EC7CEE" w:rsidRPr="00E24E94">
        <w:rPr>
          <w:sz w:val="24"/>
        </w:rPr>
        <w:t xml:space="preserve">from the </w:t>
      </w:r>
      <w:r w:rsidR="005A6866" w:rsidRPr="00E24E94">
        <w:rPr>
          <w:sz w:val="24"/>
        </w:rPr>
        <w:t xml:space="preserve">Midwest, </w:t>
      </w:r>
      <w:r w:rsidR="0026186D" w:rsidRPr="00E24E94">
        <w:rPr>
          <w:sz w:val="24"/>
        </w:rPr>
        <w:t xml:space="preserve">West, </w:t>
      </w:r>
      <w:r w:rsidR="00EC7CEE" w:rsidRPr="00E24E94">
        <w:rPr>
          <w:sz w:val="24"/>
        </w:rPr>
        <w:t xml:space="preserve">Atlantic, </w:t>
      </w:r>
      <w:r w:rsidR="005A6866" w:rsidRPr="00E24E94">
        <w:rPr>
          <w:sz w:val="24"/>
        </w:rPr>
        <w:t xml:space="preserve">and </w:t>
      </w:r>
      <w:r w:rsidR="00EC7CEE" w:rsidRPr="00E24E94">
        <w:rPr>
          <w:sz w:val="24"/>
        </w:rPr>
        <w:t>South regions</w:t>
      </w:r>
      <w:r w:rsidR="00FB7EB8" w:rsidRPr="00E24E94">
        <w:rPr>
          <w:sz w:val="24"/>
        </w:rPr>
        <w:t>,</w:t>
      </w:r>
      <w:r w:rsidR="00EC7CEE" w:rsidRPr="00E24E94">
        <w:rPr>
          <w:sz w:val="24"/>
        </w:rPr>
        <w:t xml:space="preserve"> respectively.</w:t>
      </w:r>
      <w:r w:rsidR="007E0162" w:rsidRPr="00E24E94">
        <w:rPr>
          <w:sz w:val="24"/>
        </w:rPr>
        <w:t xml:space="preserve"> </w:t>
      </w:r>
      <w:r w:rsidR="00016AFC" w:rsidRPr="00E24E94">
        <w:rPr>
          <w:sz w:val="24"/>
        </w:rPr>
        <w:t>Nine</w:t>
      </w:r>
      <w:r w:rsidR="00FB7EB8" w:rsidRPr="00E24E94">
        <w:rPr>
          <w:sz w:val="24"/>
        </w:rPr>
        <w:t xml:space="preserve"> percent</w:t>
      </w:r>
      <w:r w:rsidR="007E0162" w:rsidRPr="00E24E94">
        <w:rPr>
          <w:sz w:val="24"/>
        </w:rPr>
        <w:t xml:space="preserve"> of respondents indicated their respective lending institution </w:t>
      </w:r>
      <w:r w:rsidR="00FB7EB8" w:rsidRPr="00E24E94">
        <w:rPr>
          <w:sz w:val="24"/>
        </w:rPr>
        <w:t>was</w:t>
      </w:r>
      <w:r w:rsidR="007E0162" w:rsidRPr="00E24E94">
        <w:rPr>
          <w:sz w:val="24"/>
        </w:rPr>
        <w:t xml:space="preserve"> national</w:t>
      </w:r>
      <w:r w:rsidR="00FB7EB8" w:rsidRPr="00E24E94">
        <w:rPr>
          <w:sz w:val="24"/>
        </w:rPr>
        <w:t xml:space="preserve"> in</w:t>
      </w:r>
      <w:r w:rsidR="007E0162" w:rsidRPr="00E24E94">
        <w:rPr>
          <w:sz w:val="24"/>
        </w:rPr>
        <w:t xml:space="preserve"> scope.</w:t>
      </w:r>
      <w:r w:rsidR="00D95C9D" w:rsidRPr="00E24E94">
        <w:rPr>
          <w:sz w:val="24"/>
        </w:rPr>
        <w:t xml:space="preserve"> </w:t>
      </w:r>
    </w:p>
    <w:p w:rsidR="000A1661" w:rsidRPr="00311E33" w:rsidRDefault="000A1661" w:rsidP="000A1661">
      <w:pPr>
        <w:rPr>
          <w:sz w:val="24"/>
          <w:szCs w:val="24"/>
        </w:rPr>
      </w:pPr>
      <w:r>
        <w:rPr>
          <w:sz w:val="24"/>
        </w:rPr>
        <w:lastRenderedPageBreak/>
        <w:t xml:space="preserve">Lenders expect interest rates to rise. </w:t>
      </w:r>
      <w:r w:rsidRPr="00D64167">
        <w:rPr>
          <w:sz w:val="24"/>
          <w:szCs w:val="24"/>
        </w:rPr>
        <w:t xml:space="preserve">Figure 2 shows the continued expectation of higher interest rates in the future. </w:t>
      </w:r>
      <w:r>
        <w:rPr>
          <w:sz w:val="24"/>
          <w:szCs w:val="24"/>
        </w:rPr>
        <w:t xml:space="preserve">Over the past three months, </w:t>
      </w:r>
      <w:r w:rsidRPr="00D64167">
        <w:rPr>
          <w:sz w:val="24"/>
          <w:szCs w:val="24"/>
        </w:rPr>
        <w:t>45% of respondents indicated an increase in interest rates for farm real estate loans.</w:t>
      </w:r>
      <w:r w:rsidR="002C7E5C">
        <w:rPr>
          <w:sz w:val="24"/>
          <w:szCs w:val="24"/>
        </w:rPr>
        <w:t xml:space="preserve"> This rise was partially caused b</w:t>
      </w:r>
      <w:r>
        <w:rPr>
          <w:sz w:val="24"/>
          <w:szCs w:val="24"/>
        </w:rPr>
        <w:t xml:space="preserve">y </w:t>
      </w:r>
      <w:r w:rsidRPr="00D64167">
        <w:rPr>
          <w:sz w:val="24"/>
          <w:szCs w:val="24"/>
        </w:rPr>
        <w:t>the increase of the Fed Funds Rate by the Federal Reserve in December,</w:t>
      </w:r>
      <w:r>
        <w:rPr>
          <w:sz w:val="24"/>
          <w:szCs w:val="24"/>
        </w:rPr>
        <w:t xml:space="preserve"> 2015.</w:t>
      </w:r>
      <w:r w:rsidRPr="00D64167">
        <w:rPr>
          <w:sz w:val="24"/>
          <w:szCs w:val="24"/>
        </w:rPr>
        <w:t xml:space="preserve"> Staying with past trends, no respondents expect interest rates to decrease in the short-term or long-term</w:t>
      </w:r>
      <w:r>
        <w:rPr>
          <w:sz w:val="24"/>
          <w:szCs w:val="24"/>
        </w:rPr>
        <w:t>. Furthermore,</w:t>
      </w:r>
      <w:r w:rsidRPr="00D64167">
        <w:rPr>
          <w:sz w:val="24"/>
          <w:szCs w:val="24"/>
        </w:rPr>
        <w:t xml:space="preserve"> this survey was the </w:t>
      </w:r>
      <w:r>
        <w:rPr>
          <w:sz w:val="24"/>
          <w:szCs w:val="24"/>
        </w:rPr>
        <w:t>third consecutive survey where no respondent expects a decrease in</w:t>
      </w:r>
      <w:r w:rsidR="006D5F07">
        <w:rPr>
          <w:sz w:val="24"/>
          <w:szCs w:val="24"/>
        </w:rPr>
        <w:t xml:space="preserve"> interest rates in</w:t>
      </w:r>
      <w:r>
        <w:rPr>
          <w:sz w:val="24"/>
          <w:szCs w:val="24"/>
        </w:rPr>
        <w:t xml:space="preserve"> the short-term or long-term </w:t>
      </w:r>
      <w:r w:rsidRPr="00D64167">
        <w:rPr>
          <w:sz w:val="24"/>
          <w:szCs w:val="24"/>
        </w:rPr>
        <w:t xml:space="preserve">(Table 2). </w:t>
      </w:r>
    </w:p>
    <w:p w:rsidR="00207414" w:rsidRDefault="00207414" w:rsidP="00A82A32">
      <w:pPr>
        <w:rPr>
          <w:sz w:val="24"/>
          <w:szCs w:val="24"/>
          <w:highlight w:val="yellow"/>
        </w:rPr>
      </w:pPr>
    </w:p>
    <w:p w:rsidR="00213D5A" w:rsidRPr="00CB2C6E" w:rsidRDefault="00213D5A" w:rsidP="00213D5A">
      <w:pPr>
        <w:pStyle w:val="Caption"/>
        <w:keepNext/>
        <w:rPr>
          <w:color w:val="auto"/>
          <w:sz w:val="24"/>
        </w:rPr>
      </w:pPr>
      <w:bookmarkStart w:id="0" w:name="_Ref351456057"/>
      <w:r w:rsidRPr="00CB2C6E">
        <w:rPr>
          <w:color w:val="auto"/>
          <w:sz w:val="24"/>
        </w:rPr>
        <w:t xml:space="preserve">Figure </w:t>
      </w:r>
      <w:bookmarkEnd w:id="0"/>
      <w:r w:rsidR="006E1F8B">
        <w:rPr>
          <w:color w:val="auto"/>
          <w:sz w:val="24"/>
        </w:rPr>
        <w:t>2</w:t>
      </w:r>
      <w:r w:rsidR="00372A0C" w:rsidRPr="00CB2C6E">
        <w:rPr>
          <w:color w:val="auto"/>
          <w:sz w:val="24"/>
        </w:rPr>
        <w:t>,</w:t>
      </w:r>
      <w:r w:rsidRPr="00CB2C6E">
        <w:rPr>
          <w:color w:val="auto"/>
          <w:sz w:val="24"/>
        </w:rPr>
        <w:t xml:space="preserve"> Loan Interest Rates</w:t>
      </w:r>
      <w:r w:rsidR="0027598E" w:rsidRPr="00CB2C6E">
        <w:rPr>
          <w:color w:val="auto"/>
          <w:sz w:val="24"/>
        </w:rPr>
        <w:t xml:space="preserve"> – Diffusion Index of Survey Respondents</w:t>
      </w:r>
    </w:p>
    <w:p w:rsidR="00024610" w:rsidRDefault="00150EC0" w:rsidP="00372528">
      <w:r>
        <w:rPr>
          <w:noProof/>
        </w:rPr>
        <w:drawing>
          <wp:inline distT="0" distB="0" distL="0" distR="0" wp14:anchorId="47FC2A05" wp14:editId="2EA6783E">
            <wp:extent cx="5943600" cy="4312920"/>
            <wp:effectExtent l="0" t="0" r="0"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462C" w:rsidRPr="00456F29" w:rsidRDefault="0001462C">
      <w:pPr>
        <w:rPr>
          <w:sz w:val="24"/>
          <w:szCs w:val="24"/>
          <w:highlight w:val="yellow"/>
        </w:rPr>
      </w:pPr>
      <w:r w:rsidRPr="00456F29">
        <w:rPr>
          <w:sz w:val="24"/>
          <w:szCs w:val="24"/>
          <w:highlight w:val="yellow"/>
        </w:rPr>
        <w:br w:type="page"/>
      </w:r>
    </w:p>
    <w:p w:rsidR="003F0B71" w:rsidRPr="00835012" w:rsidRDefault="00372528" w:rsidP="005A4EA0">
      <w:pPr>
        <w:spacing w:line="240" w:lineRule="auto"/>
        <w:rPr>
          <w:sz w:val="24"/>
          <w:szCs w:val="24"/>
        </w:rPr>
      </w:pPr>
      <w:r w:rsidRPr="00835012">
        <w:rPr>
          <w:sz w:val="24"/>
          <w:szCs w:val="24"/>
        </w:rPr>
        <w:lastRenderedPageBreak/>
        <w:t xml:space="preserve">The spread over </w:t>
      </w:r>
      <w:r w:rsidR="00C94C21" w:rsidRPr="00835012">
        <w:rPr>
          <w:sz w:val="24"/>
          <w:szCs w:val="24"/>
        </w:rPr>
        <w:t xml:space="preserve">cost </w:t>
      </w:r>
      <w:r w:rsidRPr="00835012">
        <w:rPr>
          <w:sz w:val="24"/>
          <w:szCs w:val="24"/>
        </w:rPr>
        <w:t xml:space="preserve">of funds is the difference between the loan interest rates </w:t>
      </w:r>
      <w:r w:rsidR="003F0B71" w:rsidRPr="00835012">
        <w:rPr>
          <w:sz w:val="24"/>
          <w:szCs w:val="24"/>
        </w:rPr>
        <w:t>charged</w:t>
      </w:r>
      <w:r w:rsidRPr="00835012">
        <w:rPr>
          <w:sz w:val="24"/>
          <w:szCs w:val="24"/>
        </w:rPr>
        <w:t xml:space="preserve"> by the lending institution and the interest rate paid by the financial institution for the funds that they deploy in</w:t>
      </w:r>
      <w:r w:rsidR="00860824" w:rsidRPr="00835012">
        <w:rPr>
          <w:sz w:val="24"/>
          <w:szCs w:val="24"/>
        </w:rPr>
        <w:t xml:space="preserve"> their business. The reason for obtaining information for </w:t>
      </w:r>
      <w:r w:rsidRPr="00835012">
        <w:rPr>
          <w:sz w:val="24"/>
          <w:szCs w:val="24"/>
        </w:rPr>
        <w:t xml:space="preserve">both loan interest rates and spread over cost of funds is to gauge competition in the agricultural lending market. A decrease in the spread over cost of funds </w:t>
      </w:r>
      <w:r w:rsidR="00C94C21" w:rsidRPr="00835012">
        <w:rPr>
          <w:sz w:val="24"/>
          <w:szCs w:val="24"/>
        </w:rPr>
        <w:t>suggests</w:t>
      </w:r>
      <w:r w:rsidRPr="00835012">
        <w:rPr>
          <w:sz w:val="24"/>
          <w:szCs w:val="24"/>
        </w:rPr>
        <w:t xml:space="preserve"> competition for agricultural loans among lending institutions</w:t>
      </w:r>
      <w:r w:rsidR="00C94C21" w:rsidRPr="00835012">
        <w:rPr>
          <w:sz w:val="24"/>
          <w:szCs w:val="24"/>
        </w:rPr>
        <w:t xml:space="preserve"> </w:t>
      </w:r>
      <w:r w:rsidR="00332569" w:rsidRPr="00835012">
        <w:rPr>
          <w:sz w:val="24"/>
          <w:szCs w:val="24"/>
        </w:rPr>
        <w:t xml:space="preserve">may be </w:t>
      </w:r>
      <w:r w:rsidR="00C94C21" w:rsidRPr="00835012">
        <w:rPr>
          <w:sz w:val="24"/>
          <w:szCs w:val="24"/>
        </w:rPr>
        <w:t>increasing</w:t>
      </w:r>
      <w:r w:rsidRPr="00835012">
        <w:rPr>
          <w:sz w:val="24"/>
          <w:szCs w:val="24"/>
        </w:rPr>
        <w:t xml:space="preserve">. </w:t>
      </w:r>
      <w:r w:rsidR="00623AB1">
        <w:rPr>
          <w:sz w:val="24"/>
          <w:szCs w:val="24"/>
        </w:rPr>
        <w:t>Also, this information may reflect an increase in the premium for agricultural lending.</w:t>
      </w:r>
    </w:p>
    <w:p w:rsidR="00835012" w:rsidRPr="00835012" w:rsidRDefault="00835012" w:rsidP="00233FE6">
      <w:pPr>
        <w:spacing w:line="240" w:lineRule="auto"/>
        <w:rPr>
          <w:sz w:val="24"/>
          <w:szCs w:val="24"/>
        </w:rPr>
      </w:pPr>
      <w:r w:rsidRPr="00835012">
        <w:rPr>
          <w:sz w:val="24"/>
          <w:szCs w:val="24"/>
        </w:rPr>
        <w:t>This survey marks the first time lenders have indicated an increase in the spread over cost of funds</w:t>
      </w:r>
      <w:r w:rsidR="00623AB1">
        <w:rPr>
          <w:sz w:val="24"/>
          <w:szCs w:val="24"/>
        </w:rPr>
        <w:t xml:space="preserve"> over the past three months</w:t>
      </w:r>
      <w:r w:rsidRPr="00835012">
        <w:rPr>
          <w:sz w:val="24"/>
          <w:szCs w:val="24"/>
        </w:rPr>
        <w:t xml:space="preserve">. Figure 3 shows that survey respondents expect this trend to continue for both the short-term and long-term for all loan categories. However, </w:t>
      </w:r>
      <w:r w:rsidR="000A1661">
        <w:rPr>
          <w:sz w:val="24"/>
          <w:szCs w:val="24"/>
        </w:rPr>
        <w:t xml:space="preserve">despite more </w:t>
      </w:r>
      <w:r w:rsidRPr="00835012">
        <w:rPr>
          <w:sz w:val="24"/>
          <w:szCs w:val="24"/>
        </w:rPr>
        <w:t>respondents reporting an increase in spread over cost of funds, the majority of lenders reported no change in the spread over cost of funds</w:t>
      </w:r>
      <w:r w:rsidR="000A1661">
        <w:rPr>
          <w:sz w:val="24"/>
          <w:szCs w:val="24"/>
        </w:rPr>
        <w:t>. Lender expectations</w:t>
      </w:r>
      <w:r w:rsidRPr="00835012">
        <w:rPr>
          <w:sz w:val="24"/>
          <w:szCs w:val="24"/>
        </w:rPr>
        <w:t xml:space="preserve"> for the future increase</w:t>
      </w:r>
      <w:r w:rsidR="000A1661">
        <w:rPr>
          <w:sz w:val="24"/>
          <w:szCs w:val="24"/>
        </w:rPr>
        <w:t>s</w:t>
      </w:r>
      <w:r w:rsidRPr="00835012">
        <w:rPr>
          <w:sz w:val="24"/>
          <w:szCs w:val="24"/>
        </w:rPr>
        <w:t xml:space="preserve"> still remain divided with 50% of lenders expecting no long-term change and 50% of lenders expecting an increase.</w:t>
      </w:r>
    </w:p>
    <w:p w:rsidR="00B77630" w:rsidRPr="00CB2C6E" w:rsidRDefault="00B77630" w:rsidP="00B77630">
      <w:pPr>
        <w:pStyle w:val="Caption"/>
        <w:keepNext/>
        <w:rPr>
          <w:color w:val="auto"/>
          <w:sz w:val="24"/>
        </w:rPr>
      </w:pPr>
      <w:bookmarkStart w:id="1" w:name="_Ref351457182"/>
      <w:r w:rsidRPr="00CB2C6E">
        <w:rPr>
          <w:color w:val="auto"/>
          <w:sz w:val="24"/>
        </w:rPr>
        <w:t xml:space="preserve">Figure </w:t>
      </w:r>
      <w:bookmarkEnd w:id="1"/>
      <w:r w:rsidR="006E1F8B">
        <w:rPr>
          <w:color w:val="auto"/>
          <w:sz w:val="24"/>
        </w:rPr>
        <w:t>3</w:t>
      </w:r>
      <w:r w:rsidR="00372A0C" w:rsidRPr="00CB2C6E">
        <w:rPr>
          <w:color w:val="auto"/>
          <w:sz w:val="24"/>
        </w:rPr>
        <w:t>,</w:t>
      </w:r>
      <w:r w:rsidRPr="00CB2C6E">
        <w:rPr>
          <w:color w:val="auto"/>
          <w:sz w:val="24"/>
        </w:rPr>
        <w:t xml:space="preserve"> Spread Over Cost of Funds</w:t>
      </w:r>
      <w:r w:rsidR="0027598E" w:rsidRPr="00CB2C6E">
        <w:rPr>
          <w:color w:val="auto"/>
          <w:sz w:val="24"/>
        </w:rPr>
        <w:t xml:space="preserve"> – Diffusion Index of Survey Respondents</w:t>
      </w:r>
    </w:p>
    <w:p w:rsidR="00CB2C6E" w:rsidRPr="00137995" w:rsidRDefault="00150EC0">
      <w:r>
        <w:rPr>
          <w:noProof/>
        </w:rPr>
        <w:drawing>
          <wp:inline distT="0" distB="0" distL="0" distR="0" wp14:anchorId="7EEA7DF8" wp14:editId="7EC819B0">
            <wp:extent cx="5943600" cy="4312920"/>
            <wp:effectExtent l="0" t="0" r="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2" w:name="_Ref351457515"/>
      <w:r w:rsidR="00CB2C6E">
        <w:rPr>
          <w:highlight w:val="yellow"/>
        </w:rPr>
        <w:br w:type="page"/>
      </w:r>
    </w:p>
    <w:p w:rsidR="0000037C" w:rsidRPr="00835012" w:rsidRDefault="00E51A2F" w:rsidP="00B77630">
      <w:pPr>
        <w:pStyle w:val="Caption"/>
        <w:keepNext/>
        <w:rPr>
          <w:b w:val="0"/>
          <w:color w:val="auto"/>
          <w:sz w:val="24"/>
          <w:szCs w:val="24"/>
        </w:rPr>
      </w:pPr>
      <w:r w:rsidRPr="00E51A2F">
        <w:rPr>
          <w:b w:val="0"/>
          <w:color w:val="auto"/>
          <w:sz w:val="24"/>
          <w:szCs w:val="24"/>
        </w:rPr>
        <w:lastRenderedPageBreak/>
        <w:t>While farm loan volumes rose significantly over the past three months,</w:t>
      </w:r>
      <w:r w:rsidR="00623AB1">
        <w:rPr>
          <w:b w:val="0"/>
          <w:color w:val="auto"/>
          <w:sz w:val="24"/>
          <w:szCs w:val="24"/>
        </w:rPr>
        <w:t xml:space="preserve"> the increase</w:t>
      </w:r>
      <w:r w:rsidRPr="00E51A2F">
        <w:rPr>
          <w:b w:val="0"/>
          <w:color w:val="auto"/>
          <w:sz w:val="24"/>
          <w:szCs w:val="24"/>
        </w:rPr>
        <w:t xml:space="preserve"> farm real estate loan volumes are expected to slow. Figure 4 shows the responses for the aggregate amount of agricultural lending. Lenders expect total farm loan volumes to continue to increase, but farm real estate loan volumes are not expected to rise </w:t>
      </w:r>
      <w:r w:rsidR="002C7E5C">
        <w:rPr>
          <w:b w:val="0"/>
          <w:color w:val="auto"/>
          <w:sz w:val="24"/>
          <w:szCs w:val="24"/>
        </w:rPr>
        <w:t xml:space="preserve">by as many respondents </w:t>
      </w:r>
      <w:r w:rsidRPr="00E51A2F">
        <w:rPr>
          <w:b w:val="0"/>
          <w:color w:val="auto"/>
          <w:sz w:val="24"/>
          <w:szCs w:val="24"/>
        </w:rPr>
        <w:t>as in p</w:t>
      </w:r>
      <w:r w:rsidR="002C7E5C">
        <w:rPr>
          <w:b w:val="0"/>
          <w:color w:val="auto"/>
          <w:sz w:val="24"/>
          <w:szCs w:val="24"/>
        </w:rPr>
        <w:t>revious</w:t>
      </w:r>
      <w:r w:rsidRPr="00E51A2F">
        <w:rPr>
          <w:b w:val="0"/>
          <w:color w:val="auto"/>
          <w:sz w:val="24"/>
          <w:szCs w:val="24"/>
        </w:rPr>
        <w:t xml:space="preserve"> surveys. </w:t>
      </w:r>
      <w:r w:rsidR="00606B1E" w:rsidRPr="00835012">
        <w:rPr>
          <w:b w:val="0"/>
          <w:color w:val="auto"/>
          <w:sz w:val="24"/>
          <w:szCs w:val="24"/>
        </w:rPr>
        <w:t xml:space="preserve"> </w:t>
      </w:r>
      <w:r w:rsidR="00835012">
        <w:rPr>
          <w:b w:val="0"/>
          <w:color w:val="auto"/>
          <w:sz w:val="24"/>
          <w:szCs w:val="24"/>
        </w:rPr>
        <w:t>The current high demand for funds is a reflection of the deterioratin</w:t>
      </w:r>
      <w:r w:rsidR="00623AB1">
        <w:rPr>
          <w:b w:val="0"/>
          <w:color w:val="auto"/>
          <w:sz w:val="24"/>
          <w:szCs w:val="24"/>
        </w:rPr>
        <w:t>g liquidity position of farmers and is more pronounced for operating credit.</w:t>
      </w:r>
      <w:r w:rsidR="00835012">
        <w:rPr>
          <w:b w:val="0"/>
          <w:color w:val="auto"/>
          <w:sz w:val="24"/>
          <w:szCs w:val="24"/>
        </w:rPr>
        <w:t xml:space="preserve"> </w:t>
      </w:r>
    </w:p>
    <w:p w:rsidR="00835012" w:rsidRPr="008E7773" w:rsidRDefault="00835012" w:rsidP="00B77630">
      <w:pPr>
        <w:pStyle w:val="Caption"/>
        <w:keepNext/>
        <w:rPr>
          <w:b w:val="0"/>
          <w:color w:val="auto"/>
          <w:sz w:val="24"/>
          <w:szCs w:val="24"/>
        </w:rPr>
      </w:pPr>
      <w:r w:rsidRPr="008E7773">
        <w:rPr>
          <w:b w:val="0"/>
          <w:color w:val="auto"/>
          <w:sz w:val="24"/>
          <w:szCs w:val="24"/>
        </w:rPr>
        <w:t>The</w:t>
      </w:r>
      <w:r w:rsidR="00606B1E" w:rsidRPr="008E7773">
        <w:rPr>
          <w:b w:val="0"/>
          <w:color w:val="auto"/>
          <w:sz w:val="24"/>
          <w:szCs w:val="24"/>
        </w:rPr>
        <w:t xml:space="preserve"> sentiment for farm real estate loans continues on a downward trend</w:t>
      </w:r>
      <w:r w:rsidR="00501268" w:rsidRPr="008E7773">
        <w:rPr>
          <w:b w:val="0"/>
          <w:color w:val="auto"/>
          <w:sz w:val="24"/>
          <w:szCs w:val="24"/>
        </w:rPr>
        <w:t xml:space="preserve"> in the long term</w:t>
      </w:r>
      <w:r w:rsidR="00897573">
        <w:rPr>
          <w:b w:val="0"/>
          <w:color w:val="auto"/>
          <w:sz w:val="24"/>
          <w:szCs w:val="24"/>
        </w:rPr>
        <w:t xml:space="preserve"> that started with the peak in lender expectation in Spring 2014</w:t>
      </w:r>
      <w:r w:rsidR="00606B1E" w:rsidRPr="008E7773">
        <w:rPr>
          <w:b w:val="0"/>
          <w:color w:val="auto"/>
          <w:sz w:val="24"/>
          <w:szCs w:val="24"/>
        </w:rPr>
        <w:t>.</w:t>
      </w:r>
      <w:r w:rsidR="005453EF">
        <w:rPr>
          <w:b w:val="0"/>
          <w:color w:val="auto"/>
          <w:sz w:val="24"/>
          <w:szCs w:val="24"/>
        </w:rPr>
        <w:t xml:space="preserve"> </w:t>
      </w:r>
      <w:r w:rsidR="005453EF" w:rsidRPr="008E7773">
        <w:rPr>
          <w:b w:val="0"/>
          <w:color w:val="auto"/>
          <w:sz w:val="24"/>
          <w:szCs w:val="24"/>
        </w:rPr>
        <w:t xml:space="preserve">This is partly due to the decreasing demand for farmland. </w:t>
      </w:r>
      <w:r w:rsidR="005453EF">
        <w:rPr>
          <w:b w:val="0"/>
          <w:color w:val="auto"/>
          <w:sz w:val="24"/>
          <w:szCs w:val="24"/>
        </w:rPr>
        <w:t xml:space="preserve">The expectation for operating loan volume </w:t>
      </w:r>
      <w:r w:rsidR="006D2B88">
        <w:rPr>
          <w:b w:val="0"/>
          <w:color w:val="auto"/>
          <w:sz w:val="24"/>
          <w:szCs w:val="24"/>
        </w:rPr>
        <w:t>remains high for the short-term and long-term due to lower cash farm receipts, though it has</w:t>
      </w:r>
      <w:r w:rsidR="005453EF">
        <w:rPr>
          <w:b w:val="0"/>
          <w:color w:val="auto"/>
          <w:sz w:val="24"/>
          <w:szCs w:val="24"/>
        </w:rPr>
        <w:t xml:space="preserve"> decreased </w:t>
      </w:r>
      <w:r w:rsidR="006D2B88">
        <w:rPr>
          <w:b w:val="0"/>
          <w:color w:val="auto"/>
          <w:sz w:val="24"/>
          <w:szCs w:val="24"/>
        </w:rPr>
        <w:t xml:space="preserve">slightly </w:t>
      </w:r>
      <w:r w:rsidR="00F70B27">
        <w:rPr>
          <w:b w:val="0"/>
          <w:color w:val="auto"/>
          <w:sz w:val="24"/>
          <w:szCs w:val="24"/>
        </w:rPr>
        <w:t xml:space="preserve">in the short-term </w:t>
      </w:r>
      <w:r w:rsidR="005453EF">
        <w:rPr>
          <w:b w:val="0"/>
          <w:color w:val="auto"/>
          <w:sz w:val="24"/>
          <w:szCs w:val="24"/>
        </w:rPr>
        <w:t>from the Fall 2015 survey</w:t>
      </w:r>
      <w:r w:rsidR="00F70B27">
        <w:rPr>
          <w:b w:val="0"/>
          <w:color w:val="auto"/>
          <w:sz w:val="24"/>
          <w:szCs w:val="24"/>
        </w:rPr>
        <w:t xml:space="preserve"> likely due to expectations of lower operating expenses</w:t>
      </w:r>
      <w:r w:rsidR="005453EF">
        <w:rPr>
          <w:b w:val="0"/>
          <w:color w:val="auto"/>
          <w:sz w:val="24"/>
          <w:szCs w:val="24"/>
        </w:rPr>
        <w:t xml:space="preserve">. </w:t>
      </w:r>
      <w:r w:rsidRPr="008E7773">
        <w:rPr>
          <w:b w:val="0"/>
          <w:color w:val="auto"/>
          <w:sz w:val="24"/>
          <w:szCs w:val="24"/>
        </w:rPr>
        <w:t xml:space="preserve"> One respondent noted:</w:t>
      </w:r>
    </w:p>
    <w:p w:rsidR="00835012" w:rsidRPr="0041793B" w:rsidRDefault="00835012" w:rsidP="00835012">
      <w:pPr>
        <w:pStyle w:val="IntenseQuote"/>
        <w:rPr>
          <w:color w:val="000000" w:themeColor="text1"/>
        </w:rPr>
      </w:pPr>
      <w:r w:rsidRPr="0041793B">
        <w:rPr>
          <w:color w:val="000000" w:themeColor="text1"/>
        </w:rPr>
        <w:t>“I am seeing significant decrease in capital purchases and family living.  I expect other operating expenses to follow.”</w:t>
      </w:r>
    </w:p>
    <w:p w:rsidR="00B77630" w:rsidRPr="00C55D2E" w:rsidRDefault="00B77630" w:rsidP="00B77630">
      <w:pPr>
        <w:pStyle w:val="Caption"/>
        <w:keepNext/>
        <w:rPr>
          <w:color w:val="auto"/>
          <w:sz w:val="24"/>
        </w:rPr>
      </w:pPr>
      <w:bookmarkStart w:id="3" w:name="_Ref351468182"/>
      <w:r w:rsidRPr="00C55D2E">
        <w:rPr>
          <w:color w:val="auto"/>
          <w:sz w:val="24"/>
        </w:rPr>
        <w:t xml:space="preserve">Figure </w:t>
      </w:r>
      <w:bookmarkEnd w:id="2"/>
      <w:bookmarkEnd w:id="3"/>
      <w:r w:rsidR="006E1F8B">
        <w:rPr>
          <w:color w:val="auto"/>
          <w:sz w:val="24"/>
        </w:rPr>
        <w:t>4</w:t>
      </w:r>
      <w:r w:rsidR="00372A0C" w:rsidRPr="00C55D2E">
        <w:rPr>
          <w:color w:val="auto"/>
          <w:sz w:val="24"/>
        </w:rPr>
        <w:t>,</w:t>
      </w:r>
      <w:r w:rsidRPr="00C55D2E">
        <w:rPr>
          <w:color w:val="auto"/>
          <w:sz w:val="24"/>
        </w:rPr>
        <w:t xml:space="preserve"> Farm </w:t>
      </w:r>
      <w:r w:rsidR="00733CF8" w:rsidRPr="00C55D2E">
        <w:rPr>
          <w:color w:val="auto"/>
          <w:sz w:val="24"/>
        </w:rPr>
        <w:t>Loan</w:t>
      </w:r>
      <w:r w:rsidRPr="00C55D2E">
        <w:rPr>
          <w:color w:val="auto"/>
          <w:sz w:val="24"/>
        </w:rPr>
        <w:t xml:space="preserve"> Volume</w:t>
      </w:r>
      <w:r w:rsidR="0027598E" w:rsidRPr="00C55D2E">
        <w:rPr>
          <w:color w:val="auto"/>
          <w:sz w:val="24"/>
        </w:rPr>
        <w:t xml:space="preserve"> – Diffusion Index of Survey Respondents</w:t>
      </w:r>
    </w:p>
    <w:p w:rsidR="00976291" w:rsidRDefault="00835012">
      <w:pPr>
        <w:rPr>
          <w:noProof/>
        </w:rPr>
      </w:pPr>
      <w:r>
        <w:rPr>
          <w:noProof/>
        </w:rPr>
        <w:drawing>
          <wp:inline distT="0" distB="0" distL="0" distR="0" wp14:anchorId="46F0CF69" wp14:editId="194E5CCD">
            <wp:extent cx="5943600" cy="4312920"/>
            <wp:effectExtent l="0" t="0" r="0" b="114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606B1E">
        <w:rPr>
          <w:noProof/>
        </w:rPr>
        <w:t xml:space="preserve"> </w:t>
      </w:r>
      <w:bookmarkStart w:id="4" w:name="_Ref351457304"/>
    </w:p>
    <w:p w:rsidR="00F64BF5" w:rsidRDefault="00F64BF5">
      <w:pPr>
        <w:rPr>
          <w:sz w:val="24"/>
          <w:szCs w:val="24"/>
        </w:rPr>
      </w:pPr>
      <w:r>
        <w:rPr>
          <w:sz w:val="24"/>
          <w:szCs w:val="24"/>
          <w:highlight w:val="yellow"/>
        </w:rPr>
        <w:br w:type="page"/>
      </w:r>
    </w:p>
    <w:p w:rsidR="00B10CA2" w:rsidRPr="0041793B" w:rsidRDefault="00B10CA2" w:rsidP="00B10CA2">
      <w:pPr>
        <w:rPr>
          <w:sz w:val="24"/>
          <w:szCs w:val="24"/>
        </w:rPr>
      </w:pPr>
      <w:r>
        <w:rPr>
          <w:sz w:val="24"/>
          <w:szCs w:val="24"/>
        </w:rPr>
        <w:lastRenderedPageBreak/>
        <w:t xml:space="preserve">Lenders expect non-performing loans to </w:t>
      </w:r>
      <w:r w:rsidR="00623AB1">
        <w:rPr>
          <w:sz w:val="24"/>
          <w:szCs w:val="24"/>
        </w:rPr>
        <w:t>increase</w:t>
      </w:r>
      <w:r>
        <w:rPr>
          <w:sz w:val="24"/>
          <w:szCs w:val="24"/>
        </w:rPr>
        <w:t xml:space="preserve">. </w:t>
      </w:r>
      <w:r w:rsidRPr="0041793B">
        <w:rPr>
          <w:sz w:val="24"/>
          <w:szCs w:val="24"/>
        </w:rPr>
        <w:t xml:space="preserve">Figure 5 shows the results for non-performing loans analyzed by loan type. </w:t>
      </w:r>
      <w:r>
        <w:rPr>
          <w:sz w:val="24"/>
          <w:szCs w:val="24"/>
        </w:rPr>
        <w:t xml:space="preserve">43% of </w:t>
      </w:r>
      <w:r w:rsidRPr="0041793B">
        <w:rPr>
          <w:sz w:val="24"/>
          <w:szCs w:val="24"/>
        </w:rPr>
        <w:t>respondents indicated an increase in non-performing loans</w:t>
      </w:r>
      <w:r>
        <w:rPr>
          <w:sz w:val="24"/>
          <w:szCs w:val="24"/>
        </w:rPr>
        <w:t xml:space="preserve">. </w:t>
      </w:r>
      <w:r w:rsidR="002C7E5C">
        <w:rPr>
          <w:sz w:val="24"/>
          <w:szCs w:val="24"/>
        </w:rPr>
        <w:t xml:space="preserve">It is concerning that this increase </w:t>
      </w:r>
      <w:r>
        <w:rPr>
          <w:sz w:val="24"/>
          <w:szCs w:val="24"/>
        </w:rPr>
        <w:t xml:space="preserve">represents </w:t>
      </w:r>
      <w:r w:rsidRPr="0041793B">
        <w:rPr>
          <w:sz w:val="24"/>
          <w:szCs w:val="24"/>
        </w:rPr>
        <w:t xml:space="preserve">a 31% percentage point increase from Fall 2015 (Table 2). </w:t>
      </w:r>
      <w:r w:rsidR="004E2640" w:rsidRPr="004E2640">
        <w:rPr>
          <w:sz w:val="24"/>
          <w:szCs w:val="24"/>
        </w:rPr>
        <w:t xml:space="preserve">Agricultural lenders expect that non-performing loans will increase during the next year, 77% in the spring of 2016 compared to 53% in the fall of 2015.  Over the next 2 to 5 years, the sentiment is that non-performing loans will increase, but that sentiment has lessened slightly over the last two surveys. </w:t>
      </w:r>
    </w:p>
    <w:p w:rsidR="00501268" w:rsidRPr="00B10CA2" w:rsidRDefault="00B10CA2" w:rsidP="00501268">
      <w:pPr>
        <w:rPr>
          <w:sz w:val="24"/>
        </w:rPr>
      </w:pPr>
      <w:r>
        <w:rPr>
          <w:sz w:val="24"/>
        </w:rPr>
        <w:t>With that said, n</w:t>
      </w:r>
      <w:r w:rsidRPr="006E12DC">
        <w:rPr>
          <w:sz w:val="24"/>
        </w:rPr>
        <w:t>ot all lending institutions are feeling the pressure</w:t>
      </w:r>
      <w:r>
        <w:rPr>
          <w:sz w:val="24"/>
        </w:rPr>
        <w:t>.</w:t>
      </w:r>
      <w:r w:rsidRPr="006E12DC">
        <w:rPr>
          <w:sz w:val="24"/>
        </w:rPr>
        <w:t xml:space="preserve"> </w:t>
      </w:r>
      <w:r>
        <w:rPr>
          <w:sz w:val="24"/>
        </w:rPr>
        <w:t xml:space="preserve">Rising non-performing loans are not necessarily universally felt by all lenders. </w:t>
      </w:r>
      <w:r w:rsidRPr="006E12DC">
        <w:rPr>
          <w:sz w:val="24"/>
        </w:rPr>
        <w:t xml:space="preserve">One respondent noted: </w:t>
      </w:r>
    </w:p>
    <w:p w:rsidR="0041793B" w:rsidRPr="00D15AF3" w:rsidRDefault="0041793B" w:rsidP="0041793B">
      <w:pPr>
        <w:pStyle w:val="IntenseQuote"/>
        <w:rPr>
          <w:color w:val="000000" w:themeColor="text1"/>
        </w:rPr>
      </w:pPr>
      <w:r w:rsidRPr="00D15AF3">
        <w:rPr>
          <w:color w:val="000000" w:themeColor="text1"/>
        </w:rPr>
        <w:t>“We only have one farm loan that is classified. If commodity prices remain low, could be more in the future.”</w:t>
      </w:r>
    </w:p>
    <w:p w:rsidR="005E4AA4" w:rsidRPr="00F64BF5" w:rsidRDefault="005E4AA4" w:rsidP="005E4AA4">
      <w:pPr>
        <w:pStyle w:val="Caption"/>
        <w:keepNext/>
        <w:rPr>
          <w:color w:val="auto"/>
          <w:sz w:val="24"/>
        </w:rPr>
      </w:pPr>
      <w:r w:rsidRPr="00F64BF5">
        <w:rPr>
          <w:color w:val="auto"/>
          <w:sz w:val="24"/>
        </w:rPr>
        <w:t xml:space="preserve">Figure </w:t>
      </w:r>
      <w:bookmarkEnd w:id="4"/>
      <w:r w:rsidR="006E1F8B">
        <w:rPr>
          <w:color w:val="auto"/>
          <w:sz w:val="24"/>
        </w:rPr>
        <w:t>5</w:t>
      </w:r>
      <w:r w:rsidR="00372A0C" w:rsidRPr="00F64BF5">
        <w:rPr>
          <w:color w:val="auto"/>
          <w:sz w:val="24"/>
        </w:rPr>
        <w:t>,</w:t>
      </w:r>
      <w:r w:rsidRPr="00F64BF5">
        <w:rPr>
          <w:color w:val="auto"/>
          <w:sz w:val="24"/>
        </w:rPr>
        <w:t xml:space="preserve"> Non-Performing Loans, By Loan Type</w:t>
      </w:r>
      <w:r w:rsidR="0027598E" w:rsidRPr="00F64BF5">
        <w:rPr>
          <w:color w:val="auto"/>
          <w:sz w:val="24"/>
        </w:rPr>
        <w:t xml:space="preserve"> – Diffusion Index of Survey Respondents</w:t>
      </w:r>
    </w:p>
    <w:p w:rsidR="005A57ED" w:rsidRDefault="00150EC0">
      <w:pPr>
        <w:rPr>
          <w:noProof/>
        </w:rPr>
      </w:pPr>
      <w:r>
        <w:rPr>
          <w:noProof/>
        </w:rPr>
        <w:drawing>
          <wp:inline distT="0" distB="0" distL="0" distR="0" wp14:anchorId="061A1F58" wp14:editId="3F6A1325">
            <wp:extent cx="5943600" cy="4312920"/>
            <wp:effectExtent l="0" t="0" r="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4A53D3">
        <w:rPr>
          <w:noProof/>
        </w:rPr>
        <w:t xml:space="preserve"> </w:t>
      </w:r>
      <w:bookmarkStart w:id="5" w:name="_Ref351457504"/>
    </w:p>
    <w:p w:rsidR="00354FAC" w:rsidRDefault="00354FAC">
      <w:pPr>
        <w:rPr>
          <w:noProof/>
        </w:rPr>
      </w:pPr>
      <w:r>
        <w:rPr>
          <w:noProof/>
        </w:rPr>
        <w:br w:type="page"/>
      </w:r>
    </w:p>
    <w:p w:rsidR="00C653C0" w:rsidRDefault="00B10CA2" w:rsidP="005B3ABD">
      <w:pPr>
        <w:pStyle w:val="Caption"/>
        <w:keepNext/>
        <w:rPr>
          <w:b w:val="0"/>
          <w:color w:val="auto"/>
          <w:sz w:val="24"/>
        </w:rPr>
      </w:pPr>
      <w:r>
        <w:rPr>
          <w:b w:val="0"/>
          <w:color w:val="auto"/>
          <w:sz w:val="24"/>
        </w:rPr>
        <w:lastRenderedPageBreak/>
        <w:t xml:space="preserve">Non-performing loans are rising across all crop production sectors. </w:t>
      </w:r>
      <w:r w:rsidR="005B4482" w:rsidRPr="00D15AF3">
        <w:rPr>
          <w:b w:val="0"/>
          <w:color w:val="auto"/>
          <w:sz w:val="24"/>
        </w:rPr>
        <w:t xml:space="preserve">Figure </w:t>
      </w:r>
      <w:r w:rsidR="006E1F8B" w:rsidRPr="00D15AF3">
        <w:rPr>
          <w:b w:val="0"/>
          <w:color w:val="auto"/>
          <w:sz w:val="24"/>
        </w:rPr>
        <w:t>6</w:t>
      </w:r>
      <w:r w:rsidR="005B4482" w:rsidRPr="00D15AF3">
        <w:rPr>
          <w:b w:val="0"/>
          <w:color w:val="auto"/>
          <w:sz w:val="24"/>
        </w:rPr>
        <w:t xml:space="preserve"> shows the non-performing loans by crop industry sector.</w:t>
      </w:r>
      <w:r w:rsidR="00D15AF3" w:rsidRPr="00D15AF3">
        <w:rPr>
          <w:b w:val="0"/>
          <w:color w:val="auto"/>
          <w:sz w:val="24"/>
        </w:rPr>
        <w:t xml:space="preserve"> Respondents continued to indicate an increase in expectations for non-performing loans for corn and soybeans and wheat. </w:t>
      </w:r>
      <w:r w:rsidR="00354FAC" w:rsidRPr="00D15AF3">
        <w:rPr>
          <w:b w:val="0"/>
          <w:color w:val="auto"/>
          <w:sz w:val="24"/>
        </w:rPr>
        <w:t xml:space="preserve"> </w:t>
      </w:r>
    </w:p>
    <w:p w:rsidR="00D15AF3" w:rsidRPr="00D15AF3" w:rsidRDefault="00D15AF3" w:rsidP="00D15AF3">
      <w:pPr>
        <w:pStyle w:val="IntenseQuote"/>
        <w:rPr>
          <w:color w:val="000000" w:themeColor="text1"/>
        </w:rPr>
      </w:pPr>
      <w:r w:rsidRPr="00D15AF3">
        <w:rPr>
          <w:color w:val="000000" w:themeColor="text1"/>
        </w:rPr>
        <w:t>“With these crop prices expect a significant gut check by the producers.” </w:t>
      </w:r>
    </w:p>
    <w:p w:rsidR="00B10CA2" w:rsidRDefault="00B10CA2" w:rsidP="00B10CA2">
      <w:pPr>
        <w:rPr>
          <w:color w:val="000000"/>
        </w:rPr>
      </w:pPr>
      <w:r>
        <w:t xml:space="preserve">Fruits and vegetables also experienced an increase in the long-term expectation for non-performing loans. This is partly due to </w:t>
      </w:r>
      <w:r w:rsidR="002C7E5C">
        <w:t xml:space="preserve">expanded </w:t>
      </w:r>
      <w:r>
        <w:t xml:space="preserve">orchard </w:t>
      </w:r>
      <w:r w:rsidR="002C7E5C">
        <w:t>plantings</w:t>
      </w:r>
      <w:r>
        <w:t xml:space="preserve"> in reaction to recent, sizeable profits. </w:t>
      </w:r>
      <w:r>
        <w:br/>
      </w:r>
    </w:p>
    <w:p w:rsidR="00D15AF3" w:rsidRPr="00D15AF3" w:rsidRDefault="00B10CA2" w:rsidP="00B10CA2">
      <w:pPr>
        <w:pStyle w:val="IntenseQuote"/>
        <w:rPr>
          <w:color w:val="000000" w:themeColor="text1"/>
        </w:rPr>
      </w:pPr>
      <w:r w:rsidRPr="00D15AF3">
        <w:rPr>
          <w:color w:val="000000" w:themeColor="text1"/>
        </w:rPr>
        <w:t xml:space="preserve"> </w:t>
      </w:r>
      <w:r w:rsidR="00D15AF3" w:rsidRPr="00D15AF3">
        <w:rPr>
          <w:color w:val="000000" w:themeColor="text1"/>
        </w:rPr>
        <w:t>“The last seven or so years have been very profitable for tree fruit which has spurred orchard development. With new orchard acres and more productive plantings coming on line it is expected that tree fruit will be coming under pressure for next half dozen years.”</w:t>
      </w:r>
    </w:p>
    <w:p w:rsidR="005E4AA4" w:rsidRPr="005B3ABD" w:rsidRDefault="005E4AA4" w:rsidP="005E4AA4">
      <w:pPr>
        <w:pStyle w:val="Caption"/>
        <w:keepNext/>
        <w:rPr>
          <w:color w:val="auto"/>
          <w:sz w:val="24"/>
        </w:rPr>
      </w:pPr>
      <w:r w:rsidRPr="005B3ABD">
        <w:rPr>
          <w:color w:val="auto"/>
          <w:sz w:val="24"/>
        </w:rPr>
        <w:t xml:space="preserve">Figure </w:t>
      </w:r>
      <w:bookmarkEnd w:id="5"/>
      <w:r w:rsidR="006E1F8B">
        <w:rPr>
          <w:color w:val="auto"/>
          <w:sz w:val="24"/>
        </w:rPr>
        <w:t>6</w:t>
      </w:r>
      <w:r w:rsidR="00372A0C" w:rsidRPr="005B3ABD">
        <w:rPr>
          <w:color w:val="auto"/>
          <w:sz w:val="24"/>
        </w:rPr>
        <w:t>,</w:t>
      </w:r>
      <w:r w:rsidRPr="005B3ABD">
        <w:rPr>
          <w:color w:val="auto"/>
          <w:sz w:val="24"/>
        </w:rPr>
        <w:t xml:space="preserve"> Non-Performing Loans, By </w:t>
      </w:r>
      <w:r w:rsidR="00FA63B3">
        <w:rPr>
          <w:color w:val="auto"/>
          <w:sz w:val="24"/>
        </w:rPr>
        <w:t>Crop Industry</w:t>
      </w:r>
      <w:r w:rsidRPr="005B3ABD">
        <w:rPr>
          <w:color w:val="auto"/>
          <w:sz w:val="24"/>
        </w:rPr>
        <w:t xml:space="preserve"> Sector</w:t>
      </w:r>
      <w:r w:rsidR="0027598E" w:rsidRPr="005B3ABD">
        <w:rPr>
          <w:color w:val="auto"/>
          <w:sz w:val="24"/>
        </w:rPr>
        <w:t xml:space="preserve"> – Diffusion Index of Survey Respondents</w:t>
      </w:r>
    </w:p>
    <w:p w:rsidR="00976291" w:rsidRPr="00DF264B" w:rsidRDefault="00150EC0">
      <w:r>
        <w:rPr>
          <w:noProof/>
        </w:rPr>
        <w:drawing>
          <wp:inline distT="0" distB="0" distL="0" distR="0" wp14:anchorId="04CD6F45" wp14:editId="01E21F35">
            <wp:extent cx="5943600" cy="4312920"/>
            <wp:effectExtent l="0" t="0" r="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976291">
        <w:rPr>
          <w:b/>
          <w:sz w:val="24"/>
          <w:highlight w:val="yellow"/>
        </w:rPr>
        <w:br w:type="page"/>
      </w:r>
    </w:p>
    <w:p w:rsidR="0041793B" w:rsidRPr="00DF264B" w:rsidRDefault="00B10CA2" w:rsidP="00C03A63">
      <w:pPr>
        <w:pStyle w:val="Caption"/>
        <w:keepNext/>
        <w:rPr>
          <w:b w:val="0"/>
          <w:color w:val="auto"/>
          <w:sz w:val="24"/>
        </w:rPr>
      </w:pPr>
      <w:r>
        <w:rPr>
          <w:b w:val="0"/>
          <w:color w:val="auto"/>
          <w:sz w:val="24"/>
        </w:rPr>
        <w:lastRenderedPageBreak/>
        <w:t xml:space="preserve">Similar to the crop sector, non-performing loans for livestock producers </w:t>
      </w:r>
      <w:r w:rsidR="00590FF0">
        <w:rPr>
          <w:b w:val="0"/>
          <w:color w:val="auto"/>
          <w:sz w:val="24"/>
        </w:rPr>
        <w:t>are</w:t>
      </w:r>
      <w:r>
        <w:rPr>
          <w:b w:val="0"/>
          <w:color w:val="auto"/>
          <w:sz w:val="24"/>
        </w:rPr>
        <w:t xml:space="preserve"> expected to rise. </w:t>
      </w:r>
      <w:r w:rsidRPr="00DF264B">
        <w:rPr>
          <w:b w:val="0"/>
          <w:color w:val="auto"/>
          <w:sz w:val="24"/>
        </w:rPr>
        <w:t xml:space="preserve">Figure 7 shows the non-performing loans </w:t>
      </w:r>
      <w:r>
        <w:rPr>
          <w:b w:val="0"/>
          <w:color w:val="auto"/>
          <w:sz w:val="24"/>
        </w:rPr>
        <w:t>for various</w:t>
      </w:r>
      <w:r w:rsidRPr="00DF264B">
        <w:rPr>
          <w:b w:val="0"/>
          <w:color w:val="auto"/>
          <w:sz w:val="24"/>
        </w:rPr>
        <w:t xml:space="preserve"> livestock sector</w:t>
      </w:r>
      <w:r>
        <w:rPr>
          <w:b w:val="0"/>
          <w:color w:val="auto"/>
          <w:sz w:val="24"/>
        </w:rPr>
        <w:t>s</w:t>
      </w:r>
      <w:r w:rsidRPr="00DF264B">
        <w:rPr>
          <w:b w:val="0"/>
          <w:color w:val="auto"/>
          <w:sz w:val="24"/>
        </w:rPr>
        <w:t>.</w:t>
      </w:r>
      <w:r w:rsidR="0041793B" w:rsidRPr="00DF264B">
        <w:rPr>
          <w:b w:val="0"/>
          <w:color w:val="auto"/>
          <w:sz w:val="24"/>
        </w:rPr>
        <w:t xml:space="preserve"> This was the first survey that respondents indicated an increase in non-perfo</w:t>
      </w:r>
      <w:r w:rsidR="00D522DA">
        <w:rPr>
          <w:b w:val="0"/>
          <w:color w:val="auto"/>
          <w:sz w:val="24"/>
        </w:rPr>
        <w:t xml:space="preserve">rming loans for the beef sector during the past three months. Recent declines in livestock prices are beginning to </w:t>
      </w:r>
      <w:r w:rsidR="00590FF0">
        <w:rPr>
          <w:b w:val="0"/>
          <w:color w:val="auto"/>
          <w:sz w:val="24"/>
        </w:rPr>
        <w:t>impact loan performance</w:t>
      </w:r>
      <w:r w:rsidR="00D522DA">
        <w:rPr>
          <w:b w:val="0"/>
          <w:color w:val="auto"/>
          <w:sz w:val="24"/>
        </w:rPr>
        <w:t xml:space="preserve">. </w:t>
      </w:r>
      <w:r w:rsidR="0041793B" w:rsidRPr="00DF264B">
        <w:rPr>
          <w:b w:val="0"/>
          <w:color w:val="auto"/>
          <w:sz w:val="24"/>
        </w:rPr>
        <w:t xml:space="preserve"> </w:t>
      </w:r>
    </w:p>
    <w:p w:rsidR="0041793B" w:rsidRPr="0041793B" w:rsidRDefault="0041793B" w:rsidP="0041793B">
      <w:pPr>
        <w:pStyle w:val="IntenseQuote"/>
        <w:rPr>
          <w:b/>
          <w:color w:val="000000" w:themeColor="text1"/>
          <w:sz w:val="24"/>
          <w:highlight w:val="yellow"/>
        </w:rPr>
      </w:pPr>
      <w:r w:rsidRPr="0041793B">
        <w:rPr>
          <w:color w:val="000000" w:themeColor="text1"/>
        </w:rPr>
        <w:t>Expecting tighter margins for cow/calf ahead as we are into herd building, expect feed</w:t>
      </w:r>
      <w:r w:rsidR="002C7E5C">
        <w:rPr>
          <w:color w:val="000000" w:themeColor="text1"/>
        </w:rPr>
        <w:t xml:space="preserve"> </w:t>
      </w:r>
      <w:r w:rsidRPr="0041793B">
        <w:rPr>
          <w:color w:val="000000" w:themeColor="text1"/>
        </w:rPr>
        <w:t>yard margins to improve in last quarter of 2016.”</w:t>
      </w:r>
    </w:p>
    <w:p w:rsidR="007753A3" w:rsidRPr="007753A3" w:rsidRDefault="007753A3" w:rsidP="007753A3"/>
    <w:p w:rsidR="00C03A63" w:rsidRDefault="00C03A63" w:rsidP="00C03A63">
      <w:pPr>
        <w:pStyle w:val="Caption"/>
        <w:keepNext/>
      </w:pPr>
      <w:r w:rsidRPr="00C03A63">
        <w:rPr>
          <w:color w:val="auto"/>
          <w:sz w:val="24"/>
        </w:rPr>
        <w:t xml:space="preserve">Figure </w:t>
      </w:r>
      <w:r w:rsidR="006E1F8B">
        <w:rPr>
          <w:color w:val="auto"/>
          <w:sz w:val="24"/>
        </w:rPr>
        <w:t>7</w:t>
      </w:r>
      <w:r w:rsidRPr="00C03A63">
        <w:rPr>
          <w:color w:val="auto"/>
          <w:sz w:val="24"/>
        </w:rPr>
        <w:t xml:space="preserve">, </w:t>
      </w:r>
      <w:r w:rsidRPr="005B3ABD">
        <w:rPr>
          <w:color w:val="auto"/>
          <w:sz w:val="24"/>
        </w:rPr>
        <w:t xml:space="preserve">Non-Performing Loans, By </w:t>
      </w:r>
      <w:r>
        <w:rPr>
          <w:color w:val="auto"/>
          <w:sz w:val="24"/>
        </w:rPr>
        <w:t>Livestock Industry</w:t>
      </w:r>
      <w:r w:rsidRPr="005B3ABD">
        <w:rPr>
          <w:color w:val="auto"/>
          <w:sz w:val="24"/>
        </w:rPr>
        <w:t xml:space="preserve"> Sector – Diffusion Index of Survey Respondents</w:t>
      </w:r>
    </w:p>
    <w:p w:rsidR="005A57ED" w:rsidRPr="00456F29" w:rsidRDefault="00150EC0">
      <w:pPr>
        <w:rPr>
          <w:sz w:val="24"/>
          <w:szCs w:val="24"/>
          <w:highlight w:val="yellow"/>
        </w:rPr>
      </w:pPr>
      <w:r>
        <w:rPr>
          <w:noProof/>
        </w:rPr>
        <w:drawing>
          <wp:inline distT="0" distB="0" distL="0" distR="0" wp14:anchorId="20A5C4EF" wp14:editId="28752B48">
            <wp:extent cx="5943600" cy="4312920"/>
            <wp:effectExtent l="0" t="0" r="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5A57ED" w:rsidRPr="00456F29">
        <w:rPr>
          <w:sz w:val="24"/>
          <w:szCs w:val="24"/>
          <w:highlight w:val="yellow"/>
        </w:rPr>
        <w:br w:type="page"/>
      </w:r>
    </w:p>
    <w:p w:rsidR="00B10CA2" w:rsidRPr="00D522DA" w:rsidRDefault="004E2640" w:rsidP="00B10CA2">
      <w:pPr>
        <w:pStyle w:val="Caption"/>
        <w:keepNext/>
        <w:rPr>
          <w:b w:val="0"/>
          <w:color w:val="000000" w:themeColor="text1"/>
          <w:sz w:val="24"/>
        </w:rPr>
      </w:pPr>
      <w:r w:rsidRPr="004E2640">
        <w:rPr>
          <w:b w:val="0"/>
          <w:color w:val="auto"/>
          <w:sz w:val="24"/>
        </w:rPr>
        <w:lastRenderedPageBreak/>
        <w:t>During the spring 2016 survey window, 48% of agricultural lenders indicate that land values decreased and 45% indicate that they remained the same, and 6% indicate they increased during the previous three months.  The spring 2015 results indicated that 35% indicated decreases, 57% indicated no change, and 8% indicated increasing land values for the previous three months.  The expectation of land value changes in the next year became markedly more negative from the fall of 2015 to the spring of 2016 with the index falling from 32 to 16.  Currently 84% of lenders expect land values to fall over the next year and 16% expect they will remain the same.  For the longer term, the sentiment has not changed much over the last four surveys; roughly 65% expect decreases, 25% expect no change, and the remainder expect land price increases.  The overall sentiment by agricultural lenders turned more pessimistic from the fall of 2015 to the spring of 2016.</w:t>
      </w:r>
      <w:r>
        <w:rPr>
          <w:b w:val="0"/>
          <w:color w:val="auto"/>
          <w:sz w:val="24"/>
        </w:rPr>
        <w:t xml:space="preserve"> </w:t>
      </w:r>
      <w:r w:rsidR="00B10CA2" w:rsidRPr="00D522DA">
        <w:rPr>
          <w:b w:val="0"/>
          <w:color w:val="000000" w:themeColor="text1"/>
          <w:sz w:val="24"/>
        </w:rPr>
        <w:t xml:space="preserve">One respondent </w:t>
      </w:r>
      <w:r w:rsidR="00B10CA2">
        <w:rPr>
          <w:b w:val="0"/>
          <w:color w:val="000000" w:themeColor="text1"/>
          <w:sz w:val="24"/>
        </w:rPr>
        <w:t>stated:</w:t>
      </w:r>
    </w:p>
    <w:p w:rsidR="00DF264B" w:rsidRPr="00DF264B" w:rsidRDefault="00B10CA2" w:rsidP="00B10CA2">
      <w:pPr>
        <w:pStyle w:val="IntenseQuote"/>
        <w:rPr>
          <w:color w:val="000000" w:themeColor="text1"/>
        </w:rPr>
      </w:pPr>
      <w:r w:rsidRPr="00DF264B">
        <w:rPr>
          <w:color w:val="000000" w:themeColor="text1"/>
        </w:rPr>
        <w:t xml:space="preserve"> </w:t>
      </w:r>
      <w:r w:rsidR="00DF264B" w:rsidRPr="00DF264B">
        <w:rPr>
          <w:color w:val="000000" w:themeColor="text1"/>
        </w:rPr>
        <w:t>“Cropland values have declined 15-25% depending on quality.  Pasture values have stayed fairly constant, although the lack of sales might indicate that they are priced too high given the market.”</w:t>
      </w:r>
    </w:p>
    <w:p w:rsidR="00B34800" w:rsidRPr="005B3ABD" w:rsidRDefault="00B34800" w:rsidP="00B34800">
      <w:pPr>
        <w:pStyle w:val="Caption"/>
        <w:keepNext/>
        <w:rPr>
          <w:color w:val="auto"/>
          <w:sz w:val="24"/>
        </w:rPr>
      </w:pPr>
      <w:r w:rsidRPr="00B34800">
        <w:rPr>
          <w:color w:val="auto"/>
          <w:sz w:val="24"/>
        </w:rPr>
        <w:t xml:space="preserve">Figure </w:t>
      </w:r>
      <w:r w:rsidR="00EF1A27">
        <w:rPr>
          <w:color w:val="auto"/>
          <w:sz w:val="24"/>
        </w:rPr>
        <w:t>8</w:t>
      </w:r>
      <w:r w:rsidRPr="00B34800">
        <w:rPr>
          <w:color w:val="auto"/>
          <w:sz w:val="24"/>
        </w:rPr>
        <w:t xml:space="preserve"> </w:t>
      </w:r>
      <w:r>
        <w:rPr>
          <w:color w:val="auto"/>
          <w:sz w:val="24"/>
        </w:rPr>
        <w:t>Land Values</w:t>
      </w:r>
      <w:r w:rsidRPr="005B3ABD">
        <w:rPr>
          <w:color w:val="auto"/>
          <w:sz w:val="24"/>
        </w:rPr>
        <w:t xml:space="preserve"> – Diffusion Index of Survey Respondents</w:t>
      </w:r>
    </w:p>
    <w:p w:rsidR="0046785E" w:rsidRDefault="004F1A8A" w:rsidP="004466EE">
      <w:pPr>
        <w:rPr>
          <w:sz w:val="24"/>
          <w:szCs w:val="24"/>
          <w:highlight w:val="yellow"/>
        </w:rPr>
      </w:pPr>
      <w:r>
        <w:rPr>
          <w:noProof/>
        </w:rPr>
        <w:drawing>
          <wp:inline distT="0" distB="0" distL="0" distR="0" wp14:anchorId="17D33C78" wp14:editId="3956C73F">
            <wp:extent cx="5943600" cy="4312920"/>
            <wp:effectExtent l="0" t="0" r="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7E90" w:rsidRDefault="00867E90" w:rsidP="000D3906">
      <w:pPr>
        <w:rPr>
          <w:sz w:val="24"/>
          <w:szCs w:val="24"/>
          <w:highlight w:val="yellow"/>
        </w:rPr>
      </w:pPr>
    </w:p>
    <w:p w:rsidR="00CB10DF" w:rsidRPr="00C2641E" w:rsidRDefault="00CB10DF" w:rsidP="00CB10DF">
      <w:pPr>
        <w:pStyle w:val="Caption"/>
        <w:keepNext/>
        <w:rPr>
          <w:color w:val="auto"/>
          <w:sz w:val="24"/>
        </w:rPr>
      </w:pPr>
      <w:r w:rsidRPr="00C2641E">
        <w:rPr>
          <w:color w:val="auto"/>
          <w:sz w:val="24"/>
        </w:rPr>
        <w:lastRenderedPageBreak/>
        <w:t xml:space="preserve">Table </w:t>
      </w:r>
      <w:r w:rsidR="00D91990" w:rsidRPr="00C2641E">
        <w:rPr>
          <w:color w:val="auto"/>
          <w:sz w:val="24"/>
        </w:rPr>
        <w:fldChar w:fldCharType="begin"/>
      </w:r>
      <w:r w:rsidRPr="00C2641E">
        <w:rPr>
          <w:color w:val="auto"/>
          <w:sz w:val="24"/>
        </w:rPr>
        <w:instrText xml:space="preserve"> SEQ Table \* ARABIC </w:instrText>
      </w:r>
      <w:r w:rsidR="00D91990" w:rsidRPr="00C2641E">
        <w:rPr>
          <w:color w:val="auto"/>
          <w:sz w:val="24"/>
        </w:rPr>
        <w:fldChar w:fldCharType="separate"/>
      </w:r>
      <w:r w:rsidR="006E1F8B">
        <w:rPr>
          <w:noProof/>
          <w:color w:val="auto"/>
          <w:sz w:val="24"/>
        </w:rPr>
        <w:t>1</w:t>
      </w:r>
      <w:r w:rsidR="00D91990" w:rsidRPr="00C2641E">
        <w:rPr>
          <w:color w:val="auto"/>
          <w:sz w:val="24"/>
        </w:rPr>
        <w:fldChar w:fldCharType="end"/>
      </w:r>
      <w:r>
        <w:rPr>
          <w:color w:val="auto"/>
          <w:sz w:val="24"/>
        </w:rPr>
        <w:t xml:space="preserve">, </w:t>
      </w:r>
      <w:r w:rsidRPr="00C2641E">
        <w:rPr>
          <w:color w:val="auto"/>
          <w:sz w:val="24"/>
        </w:rPr>
        <w:t>States in Each Region</w:t>
      </w:r>
    </w:p>
    <w:tbl>
      <w:tblPr>
        <w:tblW w:w="0" w:type="auto"/>
        <w:jc w:val="center"/>
        <w:tblBorders>
          <w:top w:val="single" w:sz="4" w:space="0" w:color="auto"/>
          <w:bottom w:val="single" w:sz="4" w:space="0" w:color="auto"/>
        </w:tblBorders>
        <w:tblLook w:val="04A0" w:firstRow="1" w:lastRow="0" w:firstColumn="1" w:lastColumn="0" w:noHBand="0" w:noVBand="1"/>
      </w:tblPr>
      <w:tblGrid>
        <w:gridCol w:w="997"/>
        <w:gridCol w:w="6665"/>
      </w:tblGrid>
      <w:tr w:rsidR="00CB10DF" w:rsidRPr="00F820FC" w:rsidTr="00137995">
        <w:trPr>
          <w:trHeight w:val="482"/>
          <w:jc w:val="center"/>
        </w:trPr>
        <w:tc>
          <w:tcPr>
            <w:tcW w:w="997" w:type="dxa"/>
            <w:vAlign w:val="center"/>
          </w:tcPr>
          <w:p w:rsidR="00CB10DF" w:rsidRPr="00F820FC" w:rsidRDefault="00CB10DF" w:rsidP="00137995">
            <w:pPr>
              <w:spacing w:after="0" w:line="240" w:lineRule="auto"/>
              <w:jc w:val="center"/>
            </w:pPr>
            <w:r>
              <w:t>Atlantic</w:t>
            </w:r>
          </w:p>
        </w:tc>
        <w:tc>
          <w:tcPr>
            <w:tcW w:w="6665" w:type="dxa"/>
            <w:vAlign w:val="center"/>
          </w:tcPr>
          <w:p w:rsidR="00CB10DF" w:rsidRPr="00F820FC" w:rsidRDefault="00CB10DF" w:rsidP="00137995">
            <w:pPr>
              <w:spacing w:after="0" w:line="240" w:lineRule="auto"/>
            </w:pPr>
            <w:r w:rsidRPr="00F820FC">
              <w:rPr>
                <w:rFonts w:ascii="Arial" w:hAnsi="Arial" w:cs="Arial"/>
                <w:color w:val="000000"/>
                <w:sz w:val="20"/>
                <w:szCs w:val="20"/>
                <w:shd w:val="clear" w:color="auto" w:fill="FFFFFF"/>
              </w:rPr>
              <w:t>CT, DE, KY, ME, MD, MA, NH, NJ, NY, NC, PA, RI, TN, VA, VT, WV</w:t>
            </w:r>
          </w:p>
        </w:tc>
      </w:tr>
      <w:tr w:rsidR="00CB10DF" w:rsidRPr="00F820FC" w:rsidTr="00137995">
        <w:trPr>
          <w:trHeight w:val="482"/>
          <w:jc w:val="center"/>
        </w:trPr>
        <w:tc>
          <w:tcPr>
            <w:tcW w:w="997" w:type="dxa"/>
            <w:vAlign w:val="center"/>
          </w:tcPr>
          <w:p w:rsidR="00CB10DF" w:rsidRPr="00F820FC" w:rsidRDefault="00CB10DF" w:rsidP="00137995">
            <w:pPr>
              <w:spacing w:after="0" w:line="240" w:lineRule="auto"/>
              <w:jc w:val="center"/>
            </w:pPr>
            <w:r>
              <w:t>South</w:t>
            </w:r>
          </w:p>
        </w:tc>
        <w:tc>
          <w:tcPr>
            <w:tcW w:w="6665" w:type="dxa"/>
            <w:vAlign w:val="center"/>
          </w:tcPr>
          <w:p w:rsidR="00CB10DF" w:rsidRPr="00F820FC" w:rsidRDefault="00CB10DF" w:rsidP="00137995">
            <w:pPr>
              <w:spacing w:after="0" w:line="240" w:lineRule="auto"/>
            </w:pPr>
            <w:r w:rsidRPr="00F820FC">
              <w:rPr>
                <w:rFonts w:ascii="Arial" w:hAnsi="Arial" w:cs="Arial"/>
                <w:color w:val="000000"/>
                <w:sz w:val="20"/>
                <w:szCs w:val="20"/>
                <w:shd w:val="clear" w:color="auto" w:fill="FFFFFF"/>
              </w:rPr>
              <w:t>AL, AR, FL, GA, LA, MS, SC</w:t>
            </w:r>
          </w:p>
        </w:tc>
      </w:tr>
      <w:tr w:rsidR="00CB10DF" w:rsidRPr="00F820FC" w:rsidTr="00137995">
        <w:trPr>
          <w:trHeight w:val="482"/>
          <w:jc w:val="center"/>
        </w:trPr>
        <w:tc>
          <w:tcPr>
            <w:tcW w:w="997" w:type="dxa"/>
            <w:vAlign w:val="center"/>
          </w:tcPr>
          <w:p w:rsidR="00CB10DF" w:rsidRPr="00F820FC" w:rsidRDefault="00CB10DF" w:rsidP="00137995">
            <w:pPr>
              <w:spacing w:after="0" w:line="240" w:lineRule="auto"/>
              <w:jc w:val="center"/>
            </w:pPr>
            <w:r>
              <w:t>Midwest</w:t>
            </w:r>
          </w:p>
        </w:tc>
        <w:tc>
          <w:tcPr>
            <w:tcW w:w="6665" w:type="dxa"/>
            <w:vAlign w:val="center"/>
          </w:tcPr>
          <w:p w:rsidR="00CB10DF" w:rsidRPr="00F820FC" w:rsidRDefault="00CB10DF" w:rsidP="00137995">
            <w:pPr>
              <w:spacing w:after="0" w:line="240" w:lineRule="auto"/>
            </w:pPr>
            <w:r w:rsidRPr="00F820FC">
              <w:rPr>
                <w:rFonts w:ascii="Arial" w:hAnsi="Arial" w:cs="Arial"/>
                <w:color w:val="000000"/>
                <w:sz w:val="20"/>
                <w:szCs w:val="20"/>
                <w:shd w:val="clear" w:color="auto" w:fill="FFFFFF"/>
              </w:rPr>
              <w:t>IA, IL, IN, MI, MN, MO, OH, WI</w:t>
            </w:r>
          </w:p>
        </w:tc>
      </w:tr>
      <w:tr w:rsidR="00CB10DF" w:rsidRPr="00F820FC" w:rsidTr="00137995">
        <w:trPr>
          <w:trHeight w:val="482"/>
          <w:jc w:val="center"/>
        </w:trPr>
        <w:tc>
          <w:tcPr>
            <w:tcW w:w="997" w:type="dxa"/>
            <w:vAlign w:val="center"/>
          </w:tcPr>
          <w:p w:rsidR="00CB10DF" w:rsidRPr="00F820FC" w:rsidRDefault="00CB10DF" w:rsidP="00137995">
            <w:pPr>
              <w:spacing w:after="0" w:line="240" w:lineRule="auto"/>
              <w:jc w:val="center"/>
            </w:pPr>
            <w:r>
              <w:t>Plains</w:t>
            </w:r>
          </w:p>
        </w:tc>
        <w:tc>
          <w:tcPr>
            <w:tcW w:w="6665" w:type="dxa"/>
            <w:vAlign w:val="center"/>
          </w:tcPr>
          <w:p w:rsidR="00CB10DF" w:rsidRPr="00F820FC" w:rsidRDefault="00CB10DF" w:rsidP="00137995">
            <w:pPr>
              <w:spacing w:after="0" w:line="240" w:lineRule="auto"/>
            </w:pPr>
            <w:r w:rsidRPr="00F820FC">
              <w:rPr>
                <w:rFonts w:ascii="Arial" w:hAnsi="Arial" w:cs="Arial"/>
                <w:color w:val="000000"/>
                <w:sz w:val="20"/>
                <w:szCs w:val="20"/>
                <w:shd w:val="clear" w:color="auto" w:fill="FFFFFF"/>
              </w:rPr>
              <w:t>KS, NE, ND, OK, SD, TX</w:t>
            </w:r>
          </w:p>
        </w:tc>
      </w:tr>
      <w:tr w:rsidR="00CB10DF" w:rsidRPr="00F820FC" w:rsidTr="00137995">
        <w:trPr>
          <w:trHeight w:val="482"/>
          <w:jc w:val="center"/>
        </w:trPr>
        <w:tc>
          <w:tcPr>
            <w:tcW w:w="997" w:type="dxa"/>
            <w:vAlign w:val="center"/>
          </w:tcPr>
          <w:p w:rsidR="00CB10DF" w:rsidRPr="00F820FC" w:rsidRDefault="00CB10DF" w:rsidP="00137995">
            <w:pPr>
              <w:spacing w:after="0" w:line="240" w:lineRule="auto"/>
              <w:jc w:val="center"/>
            </w:pPr>
            <w:r>
              <w:t>West</w:t>
            </w:r>
          </w:p>
        </w:tc>
        <w:tc>
          <w:tcPr>
            <w:tcW w:w="6665" w:type="dxa"/>
            <w:vAlign w:val="center"/>
          </w:tcPr>
          <w:p w:rsidR="00CB10DF" w:rsidRPr="00F820FC" w:rsidRDefault="00CB10DF" w:rsidP="00EC4B2A">
            <w:pPr>
              <w:spacing w:after="0" w:line="240" w:lineRule="auto"/>
            </w:pPr>
            <w:r w:rsidRPr="00F820FC">
              <w:rPr>
                <w:rFonts w:ascii="Arial" w:hAnsi="Arial" w:cs="Arial"/>
                <w:color w:val="000000"/>
                <w:sz w:val="20"/>
                <w:szCs w:val="20"/>
                <w:shd w:val="clear" w:color="auto" w:fill="FFFFFF"/>
              </w:rPr>
              <w:t>AZ, CA, CO, ID, MT, NM, NV, OR, UT, WA, WY</w:t>
            </w:r>
          </w:p>
        </w:tc>
      </w:tr>
    </w:tbl>
    <w:p w:rsidR="00377983" w:rsidRDefault="00377983" w:rsidP="000D3906">
      <w:pPr>
        <w:rPr>
          <w:sz w:val="24"/>
          <w:szCs w:val="24"/>
          <w:highlight w:val="yellow"/>
        </w:rPr>
      </w:pPr>
    </w:p>
    <w:p w:rsidR="00377983" w:rsidRDefault="00377983">
      <w:pPr>
        <w:rPr>
          <w:sz w:val="24"/>
          <w:szCs w:val="24"/>
          <w:highlight w:val="yellow"/>
        </w:rPr>
      </w:pPr>
    </w:p>
    <w:p w:rsidR="00377983" w:rsidRDefault="00377983" w:rsidP="000D3906">
      <w:pPr>
        <w:rPr>
          <w:sz w:val="24"/>
          <w:szCs w:val="24"/>
          <w:highlight w:val="yellow"/>
        </w:rPr>
        <w:sectPr w:rsidR="00377983" w:rsidSect="00501268">
          <w:footerReference w:type="default" r:id="rId17"/>
          <w:pgSz w:w="12240" w:h="15840"/>
          <w:pgMar w:top="1260" w:right="1440" w:bottom="990" w:left="1440" w:header="720" w:footer="720" w:gutter="0"/>
          <w:pgNumType w:start="0"/>
          <w:cols w:space="720"/>
          <w:titlePg/>
          <w:docGrid w:linePitch="360"/>
        </w:sectPr>
      </w:pPr>
    </w:p>
    <w:p w:rsidR="00B675FA" w:rsidRDefault="00B675FA" w:rsidP="00B675FA">
      <w:pPr>
        <w:pStyle w:val="Caption"/>
        <w:keepNext/>
        <w:rPr>
          <w:color w:val="auto"/>
          <w:sz w:val="22"/>
        </w:rPr>
      </w:pPr>
      <w:r w:rsidRPr="00F26957">
        <w:rPr>
          <w:color w:val="auto"/>
          <w:sz w:val="22"/>
        </w:rPr>
        <w:lastRenderedPageBreak/>
        <w:t xml:space="preserve">Table </w:t>
      </w:r>
      <w:r w:rsidRPr="00F26957">
        <w:rPr>
          <w:color w:val="auto"/>
          <w:sz w:val="22"/>
        </w:rPr>
        <w:fldChar w:fldCharType="begin"/>
      </w:r>
      <w:r w:rsidRPr="00F26957">
        <w:rPr>
          <w:color w:val="auto"/>
          <w:sz w:val="22"/>
        </w:rPr>
        <w:instrText xml:space="preserve"> SEQ Table \* ARABIC </w:instrText>
      </w:r>
      <w:r w:rsidRPr="00F26957">
        <w:rPr>
          <w:color w:val="auto"/>
          <w:sz w:val="22"/>
        </w:rPr>
        <w:fldChar w:fldCharType="separate"/>
      </w:r>
      <w:r w:rsidR="006E1F8B">
        <w:rPr>
          <w:noProof/>
          <w:color w:val="auto"/>
          <w:sz w:val="22"/>
        </w:rPr>
        <w:t>2</w:t>
      </w:r>
      <w:r w:rsidRPr="00F26957">
        <w:rPr>
          <w:color w:val="auto"/>
          <w:sz w:val="22"/>
        </w:rPr>
        <w:fldChar w:fldCharType="end"/>
      </w:r>
      <w:r w:rsidRPr="00F26957">
        <w:rPr>
          <w:color w:val="auto"/>
          <w:sz w:val="22"/>
        </w:rPr>
        <w:t>, Respondent Responses</w:t>
      </w:r>
    </w:p>
    <w:p w:rsidR="00B675FA" w:rsidRDefault="00881B09" w:rsidP="00B675FA">
      <w:pPr>
        <w:pStyle w:val="Caption"/>
        <w:keepNext/>
        <w:rPr>
          <w:color w:val="auto"/>
          <w:sz w:val="22"/>
        </w:rPr>
      </w:pPr>
      <w:r w:rsidRPr="00881B09">
        <w:rPr>
          <w:noProof/>
        </w:rPr>
        <w:drawing>
          <wp:inline distT="0" distB="0" distL="0" distR="0">
            <wp:extent cx="8229600" cy="38326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3832663"/>
                    </a:xfrm>
                    <a:prstGeom prst="rect">
                      <a:avLst/>
                    </a:prstGeom>
                    <a:noFill/>
                    <a:ln>
                      <a:noFill/>
                    </a:ln>
                  </pic:spPr>
                </pic:pic>
              </a:graphicData>
            </a:graphic>
          </wp:inline>
        </w:drawing>
      </w:r>
    </w:p>
    <w:p w:rsidR="00B675FA" w:rsidRDefault="00B675FA">
      <w:pPr>
        <w:rPr>
          <w:b/>
          <w:bCs/>
          <w:szCs w:val="18"/>
        </w:rPr>
      </w:pPr>
      <w:r>
        <w:br w:type="page"/>
      </w:r>
    </w:p>
    <w:p w:rsidR="00B675FA" w:rsidRDefault="00B675FA" w:rsidP="00B675FA">
      <w:pPr>
        <w:pStyle w:val="Caption"/>
        <w:keepNext/>
        <w:rPr>
          <w:color w:val="auto"/>
          <w:sz w:val="22"/>
        </w:rPr>
      </w:pPr>
      <w:r w:rsidRPr="00F26957">
        <w:rPr>
          <w:color w:val="auto"/>
          <w:sz w:val="22"/>
        </w:rPr>
        <w:lastRenderedPageBreak/>
        <w:t xml:space="preserve">Table </w:t>
      </w:r>
      <w:r w:rsidR="004E5D16">
        <w:rPr>
          <w:color w:val="auto"/>
          <w:sz w:val="22"/>
        </w:rPr>
        <w:t>2</w:t>
      </w:r>
      <w:r>
        <w:rPr>
          <w:color w:val="auto"/>
          <w:sz w:val="22"/>
        </w:rPr>
        <w:t xml:space="preserve"> Continued</w:t>
      </w:r>
      <w:r w:rsidRPr="00F26957">
        <w:rPr>
          <w:color w:val="auto"/>
          <w:sz w:val="22"/>
        </w:rPr>
        <w:t>, Respondent Responses</w:t>
      </w:r>
    </w:p>
    <w:p w:rsidR="00B675FA" w:rsidRDefault="00881B09" w:rsidP="00B675FA">
      <w:pPr>
        <w:pStyle w:val="Caption"/>
        <w:keepNext/>
        <w:rPr>
          <w:color w:val="auto"/>
          <w:sz w:val="22"/>
        </w:rPr>
      </w:pPr>
      <w:r w:rsidRPr="00881B09">
        <w:rPr>
          <w:noProof/>
        </w:rPr>
        <w:drawing>
          <wp:inline distT="0" distB="0" distL="0" distR="0">
            <wp:extent cx="7839075" cy="4991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39075" cy="4991100"/>
                    </a:xfrm>
                    <a:prstGeom prst="rect">
                      <a:avLst/>
                    </a:prstGeom>
                    <a:noFill/>
                    <a:ln>
                      <a:noFill/>
                    </a:ln>
                  </pic:spPr>
                </pic:pic>
              </a:graphicData>
            </a:graphic>
          </wp:inline>
        </w:drawing>
      </w:r>
    </w:p>
    <w:p w:rsidR="00B675FA" w:rsidRPr="00B675FA" w:rsidRDefault="00B675FA" w:rsidP="00B675FA"/>
    <w:p w:rsidR="00B675FA" w:rsidRDefault="00B675FA" w:rsidP="00B675FA"/>
    <w:p w:rsidR="00B675FA" w:rsidRDefault="00B675FA" w:rsidP="00B675FA"/>
    <w:p w:rsidR="00B675FA" w:rsidRDefault="00B675FA">
      <w:r>
        <w:br w:type="page"/>
      </w:r>
    </w:p>
    <w:p w:rsidR="00B675FA" w:rsidRDefault="00B675FA" w:rsidP="00B675FA">
      <w:pPr>
        <w:pStyle w:val="Caption"/>
        <w:keepNext/>
        <w:rPr>
          <w:color w:val="auto"/>
          <w:sz w:val="22"/>
        </w:rPr>
      </w:pPr>
      <w:r w:rsidRPr="00F26957">
        <w:rPr>
          <w:color w:val="auto"/>
          <w:sz w:val="22"/>
        </w:rPr>
        <w:lastRenderedPageBreak/>
        <w:t xml:space="preserve">Table </w:t>
      </w:r>
      <w:r w:rsidR="004E5D16">
        <w:rPr>
          <w:color w:val="auto"/>
          <w:sz w:val="22"/>
        </w:rPr>
        <w:t>2</w:t>
      </w:r>
      <w:r>
        <w:rPr>
          <w:color w:val="auto"/>
          <w:sz w:val="22"/>
        </w:rPr>
        <w:t xml:space="preserve"> Continued</w:t>
      </w:r>
      <w:r w:rsidRPr="00F26957">
        <w:rPr>
          <w:color w:val="auto"/>
          <w:sz w:val="22"/>
        </w:rPr>
        <w:t>, Respondent Responses</w:t>
      </w:r>
    </w:p>
    <w:p w:rsidR="00B675FA" w:rsidRPr="00B675FA" w:rsidRDefault="00881B09" w:rsidP="00B675FA">
      <w:bookmarkStart w:id="6" w:name="_GoBack"/>
      <w:r w:rsidRPr="00881B09">
        <w:rPr>
          <w:noProof/>
        </w:rPr>
        <w:drawing>
          <wp:inline distT="0" distB="0" distL="0" distR="0">
            <wp:extent cx="8229600" cy="44235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9600" cy="4423516"/>
                    </a:xfrm>
                    <a:prstGeom prst="rect">
                      <a:avLst/>
                    </a:prstGeom>
                    <a:noFill/>
                    <a:ln>
                      <a:noFill/>
                    </a:ln>
                  </pic:spPr>
                </pic:pic>
              </a:graphicData>
            </a:graphic>
          </wp:inline>
        </w:drawing>
      </w:r>
      <w:bookmarkEnd w:id="6"/>
    </w:p>
    <w:sectPr w:rsidR="00B675FA" w:rsidRPr="00B675FA" w:rsidSect="003A3F0F">
      <w:pgSz w:w="15840" w:h="12240" w:orient="landscape"/>
      <w:pgMar w:top="63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D02" w:rsidRDefault="002C4D02" w:rsidP="00A82DED">
      <w:pPr>
        <w:spacing w:after="0" w:line="240" w:lineRule="auto"/>
      </w:pPr>
      <w:r>
        <w:separator/>
      </w:r>
    </w:p>
  </w:endnote>
  <w:endnote w:type="continuationSeparator" w:id="0">
    <w:p w:rsidR="002C4D02" w:rsidRDefault="002C4D02" w:rsidP="00A82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1045931"/>
      <w:docPartObj>
        <w:docPartGallery w:val="Page Numbers (Bottom of Page)"/>
        <w:docPartUnique/>
      </w:docPartObj>
    </w:sdtPr>
    <w:sdtEndPr/>
    <w:sdtContent>
      <w:p w:rsidR="004506D8" w:rsidRDefault="004506D8">
        <w:pPr>
          <w:pStyle w:val="Footer"/>
          <w:jc w:val="right"/>
        </w:pPr>
        <w:r>
          <w:fldChar w:fldCharType="begin"/>
        </w:r>
        <w:r>
          <w:instrText xml:space="preserve"> PAGE   \* MERGEFORMAT </w:instrText>
        </w:r>
        <w:r>
          <w:fldChar w:fldCharType="separate"/>
        </w:r>
        <w:r w:rsidR="00644E7E">
          <w:rPr>
            <w:noProof/>
          </w:rPr>
          <w:t>2</w:t>
        </w:r>
        <w:r>
          <w:rPr>
            <w:noProof/>
          </w:rPr>
          <w:fldChar w:fldCharType="end"/>
        </w:r>
      </w:p>
    </w:sdtContent>
  </w:sdt>
  <w:p w:rsidR="004506D8" w:rsidRDefault="00450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D02" w:rsidRDefault="002C4D02" w:rsidP="00A82DED">
      <w:pPr>
        <w:spacing w:after="0" w:line="240" w:lineRule="auto"/>
      </w:pPr>
      <w:r>
        <w:separator/>
      </w:r>
    </w:p>
  </w:footnote>
  <w:footnote w:type="continuationSeparator" w:id="0">
    <w:p w:rsidR="002C4D02" w:rsidRDefault="002C4D02" w:rsidP="00A82D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E10B48"/>
    <w:multiLevelType w:val="hybridMultilevel"/>
    <w:tmpl w:val="F9025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790"/>
    <w:rsid w:val="0000037C"/>
    <w:rsid w:val="00001101"/>
    <w:rsid w:val="00003BF7"/>
    <w:rsid w:val="00007D62"/>
    <w:rsid w:val="00013F9C"/>
    <w:rsid w:val="0001462C"/>
    <w:rsid w:val="00016AFC"/>
    <w:rsid w:val="00024610"/>
    <w:rsid w:val="00026B40"/>
    <w:rsid w:val="00047131"/>
    <w:rsid w:val="000575CA"/>
    <w:rsid w:val="00065CC4"/>
    <w:rsid w:val="000679CE"/>
    <w:rsid w:val="00073BDB"/>
    <w:rsid w:val="000935BC"/>
    <w:rsid w:val="000A1661"/>
    <w:rsid w:val="000A7F65"/>
    <w:rsid w:val="000B5EEB"/>
    <w:rsid w:val="000D0A68"/>
    <w:rsid w:val="000D222A"/>
    <w:rsid w:val="000D26B8"/>
    <w:rsid w:val="000D3906"/>
    <w:rsid w:val="000E5B3A"/>
    <w:rsid w:val="000F4196"/>
    <w:rsid w:val="000F4E02"/>
    <w:rsid w:val="001228B1"/>
    <w:rsid w:val="0013342A"/>
    <w:rsid w:val="00135513"/>
    <w:rsid w:val="00137995"/>
    <w:rsid w:val="00147A34"/>
    <w:rsid w:val="00150EC0"/>
    <w:rsid w:val="001510A7"/>
    <w:rsid w:val="001641A1"/>
    <w:rsid w:val="00165991"/>
    <w:rsid w:val="00167E2B"/>
    <w:rsid w:val="00173836"/>
    <w:rsid w:val="00194D6B"/>
    <w:rsid w:val="00194E27"/>
    <w:rsid w:val="001A21A1"/>
    <w:rsid w:val="001A5506"/>
    <w:rsid w:val="001C3597"/>
    <w:rsid w:val="001C5B23"/>
    <w:rsid w:val="001D5C98"/>
    <w:rsid w:val="001D5DE2"/>
    <w:rsid w:val="001D7C92"/>
    <w:rsid w:val="001E3B35"/>
    <w:rsid w:val="001E6041"/>
    <w:rsid w:val="001F0CC1"/>
    <w:rsid w:val="001F0F03"/>
    <w:rsid w:val="00200710"/>
    <w:rsid w:val="00203287"/>
    <w:rsid w:val="00204DCD"/>
    <w:rsid w:val="00207414"/>
    <w:rsid w:val="00210555"/>
    <w:rsid w:val="002130F2"/>
    <w:rsid w:val="00213D5A"/>
    <w:rsid w:val="002163D4"/>
    <w:rsid w:val="002177CB"/>
    <w:rsid w:val="002276D5"/>
    <w:rsid w:val="00233FE6"/>
    <w:rsid w:val="0025220A"/>
    <w:rsid w:val="002536D1"/>
    <w:rsid w:val="0026186D"/>
    <w:rsid w:val="00262B5F"/>
    <w:rsid w:val="00263699"/>
    <w:rsid w:val="002638E5"/>
    <w:rsid w:val="0027598E"/>
    <w:rsid w:val="002823CA"/>
    <w:rsid w:val="002837C7"/>
    <w:rsid w:val="0028788C"/>
    <w:rsid w:val="002942DD"/>
    <w:rsid w:val="00297599"/>
    <w:rsid w:val="00297AE3"/>
    <w:rsid w:val="002A4228"/>
    <w:rsid w:val="002B1999"/>
    <w:rsid w:val="002B23DB"/>
    <w:rsid w:val="002C3D0E"/>
    <w:rsid w:val="002C4D02"/>
    <w:rsid w:val="002C7E5C"/>
    <w:rsid w:val="002D2D5D"/>
    <w:rsid w:val="002D2D89"/>
    <w:rsid w:val="002E58B7"/>
    <w:rsid w:val="002F7AE2"/>
    <w:rsid w:val="003031AB"/>
    <w:rsid w:val="00311E33"/>
    <w:rsid w:val="00311EA8"/>
    <w:rsid w:val="00315FA0"/>
    <w:rsid w:val="0031762D"/>
    <w:rsid w:val="003322B5"/>
    <w:rsid w:val="00332569"/>
    <w:rsid w:val="00332B3B"/>
    <w:rsid w:val="0033795E"/>
    <w:rsid w:val="00345A66"/>
    <w:rsid w:val="00346337"/>
    <w:rsid w:val="00353857"/>
    <w:rsid w:val="00354FAC"/>
    <w:rsid w:val="00356AC7"/>
    <w:rsid w:val="003668B4"/>
    <w:rsid w:val="00370AA0"/>
    <w:rsid w:val="0037112D"/>
    <w:rsid w:val="00372528"/>
    <w:rsid w:val="00372A0C"/>
    <w:rsid w:val="00375A78"/>
    <w:rsid w:val="00377983"/>
    <w:rsid w:val="003A3F0F"/>
    <w:rsid w:val="003A4F43"/>
    <w:rsid w:val="003A6CAF"/>
    <w:rsid w:val="003A76AD"/>
    <w:rsid w:val="003B4855"/>
    <w:rsid w:val="003C2002"/>
    <w:rsid w:val="003C7B27"/>
    <w:rsid w:val="003E688B"/>
    <w:rsid w:val="003F0B71"/>
    <w:rsid w:val="003F30D5"/>
    <w:rsid w:val="004029F3"/>
    <w:rsid w:val="00411E51"/>
    <w:rsid w:val="0041793B"/>
    <w:rsid w:val="00420C08"/>
    <w:rsid w:val="0042240E"/>
    <w:rsid w:val="00446526"/>
    <w:rsid w:val="004466EE"/>
    <w:rsid w:val="00447D9A"/>
    <w:rsid w:val="004506D8"/>
    <w:rsid w:val="004508C7"/>
    <w:rsid w:val="00451BE7"/>
    <w:rsid w:val="00456F29"/>
    <w:rsid w:val="0046785E"/>
    <w:rsid w:val="00472CE6"/>
    <w:rsid w:val="00475166"/>
    <w:rsid w:val="00475A18"/>
    <w:rsid w:val="004808AB"/>
    <w:rsid w:val="004815D7"/>
    <w:rsid w:val="00482D55"/>
    <w:rsid w:val="00483F7D"/>
    <w:rsid w:val="0048705D"/>
    <w:rsid w:val="004877C5"/>
    <w:rsid w:val="004A4012"/>
    <w:rsid w:val="004A4336"/>
    <w:rsid w:val="004A53D3"/>
    <w:rsid w:val="004A55EC"/>
    <w:rsid w:val="004A64EA"/>
    <w:rsid w:val="004B6104"/>
    <w:rsid w:val="004C5138"/>
    <w:rsid w:val="004C6545"/>
    <w:rsid w:val="004E2640"/>
    <w:rsid w:val="004E5D16"/>
    <w:rsid w:val="004E5F71"/>
    <w:rsid w:val="004E66F1"/>
    <w:rsid w:val="004E7CE4"/>
    <w:rsid w:val="004F1A8A"/>
    <w:rsid w:val="004F7529"/>
    <w:rsid w:val="00501268"/>
    <w:rsid w:val="005155A1"/>
    <w:rsid w:val="00521A09"/>
    <w:rsid w:val="0052233B"/>
    <w:rsid w:val="005227C3"/>
    <w:rsid w:val="00525D62"/>
    <w:rsid w:val="005268E6"/>
    <w:rsid w:val="0053669A"/>
    <w:rsid w:val="0054038A"/>
    <w:rsid w:val="00542837"/>
    <w:rsid w:val="005453EF"/>
    <w:rsid w:val="0055676E"/>
    <w:rsid w:val="00562628"/>
    <w:rsid w:val="00577CC8"/>
    <w:rsid w:val="00577D88"/>
    <w:rsid w:val="0058744C"/>
    <w:rsid w:val="00590FF0"/>
    <w:rsid w:val="005975C0"/>
    <w:rsid w:val="005A2994"/>
    <w:rsid w:val="005A4EA0"/>
    <w:rsid w:val="005A57ED"/>
    <w:rsid w:val="005A6866"/>
    <w:rsid w:val="005B3ABD"/>
    <w:rsid w:val="005B4482"/>
    <w:rsid w:val="005B4D7F"/>
    <w:rsid w:val="005B7C8E"/>
    <w:rsid w:val="005C2B5C"/>
    <w:rsid w:val="005C4A17"/>
    <w:rsid w:val="005C6718"/>
    <w:rsid w:val="005D0442"/>
    <w:rsid w:val="005D0D5E"/>
    <w:rsid w:val="005E4019"/>
    <w:rsid w:val="005E4AA4"/>
    <w:rsid w:val="005F3C09"/>
    <w:rsid w:val="005F6716"/>
    <w:rsid w:val="00600AF5"/>
    <w:rsid w:val="00600D45"/>
    <w:rsid w:val="00603684"/>
    <w:rsid w:val="0060410D"/>
    <w:rsid w:val="006053D6"/>
    <w:rsid w:val="00606B1E"/>
    <w:rsid w:val="00610B1D"/>
    <w:rsid w:val="00613D4B"/>
    <w:rsid w:val="00620214"/>
    <w:rsid w:val="0062296B"/>
    <w:rsid w:val="00623AB1"/>
    <w:rsid w:val="00626219"/>
    <w:rsid w:val="00633F34"/>
    <w:rsid w:val="00637859"/>
    <w:rsid w:val="00644E7E"/>
    <w:rsid w:val="00647C3D"/>
    <w:rsid w:val="006514C5"/>
    <w:rsid w:val="00653543"/>
    <w:rsid w:val="00656B0D"/>
    <w:rsid w:val="00664CED"/>
    <w:rsid w:val="00672B9F"/>
    <w:rsid w:val="006742DA"/>
    <w:rsid w:val="00682E21"/>
    <w:rsid w:val="00686D3C"/>
    <w:rsid w:val="006A0A5C"/>
    <w:rsid w:val="006B13D3"/>
    <w:rsid w:val="006C2EF6"/>
    <w:rsid w:val="006D2B88"/>
    <w:rsid w:val="006D5F07"/>
    <w:rsid w:val="006E1F8B"/>
    <w:rsid w:val="006E2B44"/>
    <w:rsid w:val="006E3936"/>
    <w:rsid w:val="006E5EC4"/>
    <w:rsid w:val="006F2F1D"/>
    <w:rsid w:val="006F31DE"/>
    <w:rsid w:val="006F5600"/>
    <w:rsid w:val="00706D20"/>
    <w:rsid w:val="007149F6"/>
    <w:rsid w:val="00720FE4"/>
    <w:rsid w:val="007258C1"/>
    <w:rsid w:val="00727CD5"/>
    <w:rsid w:val="007309E6"/>
    <w:rsid w:val="00733A64"/>
    <w:rsid w:val="00733CF8"/>
    <w:rsid w:val="00741F2A"/>
    <w:rsid w:val="00752DB5"/>
    <w:rsid w:val="00754B73"/>
    <w:rsid w:val="00754D02"/>
    <w:rsid w:val="0076497A"/>
    <w:rsid w:val="00773B78"/>
    <w:rsid w:val="007753A3"/>
    <w:rsid w:val="00775E30"/>
    <w:rsid w:val="00776A2B"/>
    <w:rsid w:val="00783B17"/>
    <w:rsid w:val="0079539B"/>
    <w:rsid w:val="007A2AD0"/>
    <w:rsid w:val="007B6C27"/>
    <w:rsid w:val="007C6600"/>
    <w:rsid w:val="007C66C6"/>
    <w:rsid w:val="007D49C9"/>
    <w:rsid w:val="007E0162"/>
    <w:rsid w:val="007E0FC1"/>
    <w:rsid w:val="007E26A5"/>
    <w:rsid w:val="007E76CD"/>
    <w:rsid w:val="007F42A1"/>
    <w:rsid w:val="00805AD4"/>
    <w:rsid w:val="00810DF6"/>
    <w:rsid w:val="00815284"/>
    <w:rsid w:val="00816462"/>
    <w:rsid w:val="00820C3E"/>
    <w:rsid w:val="008221A0"/>
    <w:rsid w:val="00826CC7"/>
    <w:rsid w:val="008341BF"/>
    <w:rsid w:val="00835012"/>
    <w:rsid w:val="0084040D"/>
    <w:rsid w:val="0085499E"/>
    <w:rsid w:val="008562A1"/>
    <w:rsid w:val="0085638C"/>
    <w:rsid w:val="0085784F"/>
    <w:rsid w:val="00860824"/>
    <w:rsid w:val="008613F9"/>
    <w:rsid w:val="00866EF4"/>
    <w:rsid w:val="00867E90"/>
    <w:rsid w:val="00871F45"/>
    <w:rsid w:val="008733D6"/>
    <w:rsid w:val="00873E94"/>
    <w:rsid w:val="00881B09"/>
    <w:rsid w:val="00897573"/>
    <w:rsid w:val="008A223F"/>
    <w:rsid w:val="008A6268"/>
    <w:rsid w:val="008B214A"/>
    <w:rsid w:val="008C1EB4"/>
    <w:rsid w:val="008D5032"/>
    <w:rsid w:val="008D6496"/>
    <w:rsid w:val="008E74D1"/>
    <w:rsid w:val="008E7773"/>
    <w:rsid w:val="008F31A0"/>
    <w:rsid w:val="008F31CC"/>
    <w:rsid w:val="008F4C5A"/>
    <w:rsid w:val="008F5C9E"/>
    <w:rsid w:val="00901905"/>
    <w:rsid w:val="00906193"/>
    <w:rsid w:val="009065C0"/>
    <w:rsid w:val="009074E1"/>
    <w:rsid w:val="009137EB"/>
    <w:rsid w:val="00931661"/>
    <w:rsid w:val="00934994"/>
    <w:rsid w:val="00940DE6"/>
    <w:rsid w:val="00941789"/>
    <w:rsid w:val="009424E2"/>
    <w:rsid w:val="0094339E"/>
    <w:rsid w:val="00944026"/>
    <w:rsid w:val="009519F4"/>
    <w:rsid w:val="00965CF9"/>
    <w:rsid w:val="0096646C"/>
    <w:rsid w:val="00967565"/>
    <w:rsid w:val="00976291"/>
    <w:rsid w:val="009902FC"/>
    <w:rsid w:val="0099433A"/>
    <w:rsid w:val="00995CAC"/>
    <w:rsid w:val="009B4D41"/>
    <w:rsid w:val="009C25A0"/>
    <w:rsid w:val="009C4A5C"/>
    <w:rsid w:val="009C4F06"/>
    <w:rsid w:val="009C5185"/>
    <w:rsid w:val="009D233E"/>
    <w:rsid w:val="009E3CE9"/>
    <w:rsid w:val="009E3D06"/>
    <w:rsid w:val="00A03DAA"/>
    <w:rsid w:val="00A0594B"/>
    <w:rsid w:val="00A127C4"/>
    <w:rsid w:val="00A22D22"/>
    <w:rsid w:val="00A24283"/>
    <w:rsid w:val="00A45A3C"/>
    <w:rsid w:val="00A4607D"/>
    <w:rsid w:val="00A536F8"/>
    <w:rsid w:val="00A64ED3"/>
    <w:rsid w:val="00A6619A"/>
    <w:rsid w:val="00A67E69"/>
    <w:rsid w:val="00A7123A"/>
    <w:rsid w:val="00A8269D"/>
    <w:rsid w:val="00A82A32"/>
    <w:rsid w:val="00A82DED"/>
    <w:rsid w:val="00A94A36"/>
    <w:rsid w:val="00AA0DAA"/>
    <w:rsid w:val="00AA2B7D"/>
    <w:rsid w:val="00AB79AE"/>
    <w:rsid w:val="00AB7E0B"/>
    <w:rsid w:val="00AC208A"/>
    <w:rsid w:val="00AC2CEC"/>
    <w:rsid w:val="00AC664C"/>
    <w:rsid w:val="00AD085C"/>
    <w:rsid w:val="00AD11B0"/>
    <w:rsid w:val="00AD1B4A"/>
    <w:rsid w:val="00AD4A7C"/>
    <w:rsid w:val="00AE24C2"/>
    <w:rsid w:val="00AE47EA"/>
    <w:rsid w:val="00AE6913"/>
    <w:rsid w:val="00AE7762"/>
    <w:rsid w:val="00AF111B"/>
    <w:rsid w:val="00AF3135"/>
    <w:rsid w:val="00AF37B5"/>
    <w:rsid w:val="00AF7A64"/>
    <w:rsid w:val="00B001A3"/>
    <w:rsid w:val="00B02C21"/>
    <w:rsid w:val="00B059EC"/>
    <w:rsid w:val="00B078D4"/>
    <w:rsid w:val="00B10CA2"/>
    <w:rsid w:val="00B14E0A"/>
    <w:rsid w:val="00B223AB"/>
    <w:rsid w:val="00B242A0"/>
    <w:rsid w:val="00B34800"/>
    <w:rsid w:val="00B371C2"/>
    <w:rsid w:val="00B41929"/>
    <w:rsid w:val="00B43251"/>
    <w:rsid w:val="00B4411E"/>
    <w:rsid w:val="00B51823"/>
    <w:rsid w:val="00B56CF4"/>
    <w:rsid w:val="00B56E0E"/>
    <w:rsid w:val="00B57DCD"/>
    <w:rsid w:val="00B675FA"/>
    <w:rsid w:val="00B74341"/>
    <w:rsid w:val="00B77630"/>
    <w:rsid w:val="00B803F4"/>
    <w:rsid w:val="00B820FC"/>
    <w:rsid w:val="00B96EED"/>
    <w:rsid w:val="00BA3651"/>
    <w:rsid w:val="00BC408F"/>
    <w:rsid w:val="00BC46E4"/>
    <w:rsid w:val="00BC6621"/>
    <w:rsid w:val="00BD7D51"/>
    <w:rsid w:val="00BE22B3"/>
    <w:rsid w:val="00BE657E"/>
    <w:rsid w:val="00BE7B39"/>
    <w:rsid w:val="00C03A63"/>
    <w:rsid w:val="00C137CA"/>
    <w:rsid w:val="00C14934"/>
    <w:rsid w:val="00C15863"/>
    <w:rsid w:val="00C21BAE"/>
    <w:rsid w:val="00C23E5C"/>
    <w:rsid w:val="00C26386"/>
    <w:rsid w:val="00C2641E"/>
    <w:rsid w:val="00C3771B"/>
    <w:rsid w:val="00C474C2"/>
    <w:rsid w:val="00C503A3"/>
    <w:rsid w:val="00C51964"/>
    <w:rsid w:val="00C55D2E"/>
    <w:rsid w:val="00C605E2"/>
    <w:rsid w:val="00C6297E"/>
    <w:rsid w:val="00C653C0"/>
    <w:rsid w:val="00C67105"/>
    <w:rsid w:val="00C82C9D"/>
    <w:rsid w:val="00C9166D"/>
    <w:rsid w:val="00C92D15"/>
    <w:rsid w:val="00C94C21"/>
    <w:rsid w:val="00C960D0"/>
    <w:rsid w:val="00CA6A3E"/>
    <w:rsid w:val="00CB10DF"/>
    <w:rsid w:val="00CB2C6E"/>
    <w:rsid w:val="00CB3468"/>
    <w:rsid w:val="00CB5395"/>
    <w:rsid w:val="00CB7EFA"/>
    <w:rsid w:val="00CC0CD6"/>
    <w:rsid w:val="00CD33B0"/>
    <w:rsid w:val="00CD445D"/>
    <w:rsid w:val="00D000F6"/>
    <w:rsid w:val="00D004EC"/>
    <w:rsid w:val="00D04BF5"/>
    <w:rsid w:val="00D05294"/>
    <w:rsid w:val="00D05623"/>
    <w:rsid w:val="00D0711C"/>
    <w:rsid w:val="00D11266"/>
    <w:rsid w:val="00D12743"/>
    <w:rsid w:val="00D138FB"/>
    <w:rsid w:val="00D15016"/>
    <w:rsid w:val="00D15AF3"/>
    <w:rsid w:val="00D2066B"/>
    <w:rsid w:val="00D27B12"/>
    <w:rsid w:val="00D30284"/>
    <w:rsid w:val="00D41BE7"/>
    <w:rsid w:val="00D45155"/>
    <w:rsid w:val="00D516A0"/>
    <w:rsid w:val="00D51CD3"/>
    <w:rsid w:val="00D522DA"/>
    <w:rsid w:val="00D609C9"/>
    <w:rsid w:val="00D60EBE"/>
    <w:rsid w:val="00D64167"/>
    <w:rsid w:val="00D76008"/>
    <w:rsid w:val="00D80B65"/>
    <w:rsid w:val="00D916EC"/>
    <w:rsid w:val="00D91990"/>
    <w:rsid w:val="00D95C9D"/>
    <w:rsid w:val="00DB524A"/>
    <w:rsid w:val="00DB6796"/>
    <w:rsid w:val="00DD0921"/>
    <w:rsid w:val="00DD3CC2"/>
    <w:rsid w:val="00DE5FC4"/>
    <w:rsid w:val="00DE76FE"/>
    <w:rsid w:val="00DF264B"/>
    <w:rsid w:val="00DF4519"/>
    <w:rsid w:val="00DF5C57"/>
    <w:rsid w:val="00E03D1F"/>
    <w:rsid w:val="00E226B3"/>
    <w:rsid w:val="00E24E94"/>
    <w:rsid w:val="00E3248E"/>
    <w:rsid w:val="00E3385C"/>
    <w:rsid w:val="00E34343"/>
    <w:rsid w:val="00E441CA"/>
    <w:rsid w:val="00E51A2F"/>
    <w:rsid w:val="00E52DDE"/>
    <w:rsid w:val="00E539CD"/>
    <w:rsid w:val="00E566EC"/>
    <w:rsid w:val="00E65FF3"/>
    <w:rsid w:val="00E6658E"/>
    <w:rsid w:val="00E762E7"/>
    <w:rsid w:val="00E8147F"/>
    <w:rsid w:val="00E93C50"/>
    <w:rsid w:val="00E95943"/>
    <w:rsid w:val="00EA14F8"/>
    <w:rsid w:val="00EA4E65"/>
    <w:rsid w:val="00EA5DE5"/>
    <w:rsid w:val="00EB05FC"/>
    <w:rsid w:val="00EB32A3"/>
    <w:rsid w:val="00EB36C1"/>
    <w:rsid w:val="00EC4B2A"/>
    <w:rsid w:val="00EC5A47"/>
    <w:rsid w:val="00EC7CEE"/>
    <w:rsid w:val="00EC7F81"/>
    <w:rsid w:val="00EE240D"/>
    <w:rsid w:val="00EE457B"/>
    <w:rsid w:val="00EE5D64"/>
    <w:rsid w:val="00EF1A27"/>
    <w:rsid w:val="00EF7451"/>
    <w:rsid w:val="00EF7C82"/>
    <w:rsid w:val="00F21187"/>
    <w:rsid w:val="00F26957"/>
    <w:rsid w:val="00F312E8"/>
    <w:rsid w:val="00F32BD5"/>
    <w:rsid w:val="00F36869"/>
    <w:rsid w:val="00F40DA4"/>
    <w:rsid w:val="00F439FF"/>
    <w:rsid w:val="00F47CEB"/>
    <w:rsid w:val="00F6086E"/>
    <w:rsid w:val="00F61855"/>
    <w:rsid w:val="00F62790"/>
    <w:rsid w:val="00F6335A"/>
    <w:rsid w:val="00F64BF5"/>
    <w:rsid w:val="00F70B27"/>
    <w:rsid w:val="00F7282B"/>
    <w:rsid w:val="00F90B82"/>
    <w:rsid w:val="00F92B78"/>
    <w:rsid w:val="00F962FD"/>
    <w:rsid w:val="00FA63B3"/>
    <w:rsid w:val="00FB3CA4"/>
    <w:rsid w:val="00FB7B34"/>
    <w:rsid w:val="00FB7EB8"/>
    <w:rsid w:val="00FC0F35"/>
    <w:rsid w:val="00FC1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DAB959-AD89-47F0-982D-FFA14756B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716"/>
  </w:style>
  <w:style w:type="paragraph" w:styleId="Heading1">
    <w:name w:val="heading 1"/>
    <w:basedOn w:val="Normal"/>
    <w:next w:val="Normal"/>
    <w:link w:val="Heading1Char"/>
    <w:uiPriority w:val="9"/>
    <w:qFormat/>
    <w:rsid w:val="009B4D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5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CC4"/>
    <w:rPr>
      <w:rFonts w:ascii="Tahoma" w:hAnsi="Tahoma" w:cs="Tahoma"/>
      <w:sz w:val="16"/>
      <w:szCs w:val="16"/>
    </w:rPr>
  </w:style>
  <w:style w:type="paragraph" w:styleId="Caption">
    <w:name w:val="caption"/>
    <w:basedOn w:val="Normal"/>
    <w:next w:val="Normal"/>
    <w:uiPriority w:val="35"/>
    <w:unhideWhenUsed/>
    <w:qFormat/>
    <w:rsid w:val="00213D5A"/>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4466EE"/>
    <w:rPr>
      <w:sz w:val="16"/>
      <w:szCs w:val="16"/>
    </w:rPr>
  </w:style>
  <w:style w:type="paragraph" w:styleId="CommentText">
    <w:name w:val="annotation text"/>
    <w:basedOn w:val="Normal"/>
    <w:link w:val="CommentTextChar"/>
    <w:uiPriority w:val="99"/>
    <w:semiHidden/>
    <w:unhideWhenUsed/>
    <w:rsid w:val="004466EE"/>
    <w:pPr>
      <w:spacing w:line="240" w:lineRule="auto"/>
    </w:pPr>
    <w:rPr>
      <w:sz w:val="20"/>
      <w:szCs w:val="20"/>
    </w:rPr>
  </w:style>
  <w:style w:type="character" w:customStyle="1" w:styleId="CommentTextChar">
    <w:name w:val="Comment Text Char"/>
    <w:basedOn w:val="DefaultParagraphFont"/>
    <w:link w:val="CommentText"/>
    <w:uiPriority w:val="99"/>
    <w:semiHidden/>
    <w:rsid w:val="004466EE"/>
    <w:rPr>
      <w:sz w:val="20"/>
      <w:szCs w:val="20"/>
    </w:rPr>
  </w:style>
  <w:style w:type="paragraph" w:styleId="CommentSubject">
    <w:name w:val="annotation subject"/>
    <w:basedOn w:val="CommentText"/>
    <w:next w:val="CommentText"/>
    <w:link w:val="CommentSubjectChar"/>
    <w:uiPriority w:val="99"/>
    <w:semiHidden/>
    <w:unhideWhenUsed/>
    <w:rsid w:val="004466EE"/>
    <w:rPr>
      <w:b/>
      <w:bCs/>
    </w:rPr>
  </w:style>
  <w:style w:type="character" w:customStyle="1" w:styleId="CommentSubjectChar">
    <w:name w:val="Comment Subject Char"/>
    <w:basedOn w:val="CommentTextChar"/>
    <w:link w:val="CommentSubject"/>
    <w:uiPriority w:val="99"/>
    <w:semiHidden/>
    <w:rsid w:val="004466EE"/>
    <w:rPr>
      <w:b/>
      <w:bCs/>
      <w:sz w:val="20"/>
      <w:szCs w:val="20"/>
    </w:rPr>
  </w:style>
  <w:style w:type="paragraph" w:styleId="NoSpacing">
    <w:name w:val="No Spacing"/>
    <w:link w:val="NoSpacingChar"/>
    <w:uiPriority w:val="1"/>
    <w:qFormat/>
    <w:rsid w:val="008A223F"/>
    <w:pPr>
      <w:spacing w:after="0" w:line="240" w:lineRule="auto"/>
    </w:pPr>
  </w:style>
  <w:style w:type="character" w:customStyle="1" w:styleId="NoSpacingChar">
    <w:name w:val="No Spacing Char"/>
    <w:basedOn w:val="DefaultParagraphFont"/>
    <w:link w:val="NoSpacing"/>
    <w:uiPriority w:val="1"/>
    <w:rsid w:val="008A223F"/>
  </w:style>
  <w:style w:type="paragraph" w:styleId="Header">
    <w:name w:val="header"/>
    <w:basedOn w:val="Normal"/>
    <w:link w:val="HeaderChar"/>
    <w:uiPriority w:val="99"/>
    <w:unhideWhenUsed/>
    <w:rsid w:val="00A82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DED"/>
  </w:style>
  <w:style w:type="paragraph" w:styleId="Footer">
    <w:name w:val="footer"/>
    <w:basedOn w:val="Normal"/>
    <w:link w:val="FooterChar"/>
    <w:uiPriority w:val="99"/>
    <w:unhideWhenUsed/>
    <w:rsid w:val="00A82D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DED"/>
  </w:style>
  <w:style w:type="paragraph" w:styleId="Revision">
    <w:name w:val="Revision"/>
    <w:hidden/>
    <w:uiPriority w:val="99"/>
    <w:semiHidden/>
    <w:rsid w:val="00AD085C"/>
    <w:pPr>
      <w:spacing w:after="0" w:line="240" w:lineRule="auto"/>
    </w:pPr>
  </w:style>
  <w:style w:type="character" w:styleId="Hyperlink">
    <w:name w:val="Hyperlink"/>
    <w:basedOn w:val="DefaultParagraphFont"/>
    <w:uiPriority w:val="99"/>
    <w:semiHidden/>
    <w:unhideWhenUsed/>
    <w:rsid w:val="000575CA"/>
    <w:rPr>
      <w:color w:val="0000FF"/>
      <w:u w:val="single"/>
    </w:rPr>
  </w:style>
  <w:style w:type="character" w:styleId="FollowedHyperlink">
    <w:name w:val="FollowedHyperlink"/>
    <w:basedOn w:val="DefaultParagraphFont"/>
    <w:uiPriority w:val="99"/>
    <w:semiHidden/>
    <w:unhideWhenUsed/>
    <w:rsid w:val="000575CA"/>
    <w:rPr>
      <w:color w:val="800080"/>
      <w:u w:val="single"/>
    </w:rPr>
  </w:style>
  <w:style w:type="paragraph" w:customStyle="1" w:styleId="xl69">
    <w:name w:val="xl69"/>
    <w:basedOn w:val="Normal"/>
    <w:rsid w:val="000575C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0575C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0575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0575CA"/>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0575C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0575C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0575CA"/>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0575CA"/>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0575C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0575CA"/>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0575CA"/>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0575C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0575CA"/>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0575CA"/>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0575CA"/>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0575CA"/>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0575CA"/>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0575C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styleId="ListParagraph">
    <w:name w:val="List Paragraph"/>
    <w:basedOn w:val="Normal"/>
    <w:uiPriority w:val="34"/>
    <w:qFormat/>
    <w:rsid w:val="00AE7762"/>
    <w:pPr>
      <w:ind w:left="720"/>
      <w:contextualSpacing/>
    </w:pPr>
  </w:style>
  <w:style w:type="paragraph" w:styleId="IntenseQuote">
    <w:name w:val="Intense Quote"/>
    <w:basedOn w:val="Normal"/>
    <w:next w:val="Normal"/>
    <w:link w:val="IntenseQuoteChar"/>
    <w:uiPriority w:val="30"/>
    <w:qFormat/>
    <w:rsid w:val="006F2F1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F2F1D"/>
    <w:rPr>
      <w:i/>
      <w:iCs/>
      <w:color w:val="4F81BD" w:themeColor="accent1"/>
    </w:rPr>
  </w:style>
  <w:style w:type="character" w:customStyle="1" w:styleId="Heading1Char">
    <w:name w:val="Heading 1 Char"/>
    <w:basedOn w:val="DefaultParagraphFont"/>
    <w:link w:val="Heading1"/>
    <w:uiPriority w:val="9"/>
    <w:rsid w:val="009B4D41"/>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semiHidden/>
    <w:unhideWhenUsed/>
    <w:rsid w:val="001659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5991"/>
    <w:rPr>
      <w:sz w:val="20"/>
      <w:szCs w:val="20"/>
    </w:rPr>
  </w:style>
  <w:style w:type="character" w:styleId="FootnoteReference">
    <w:name w:val="footnote reference"/>
    <w:basedOn w:val="DefaultParagraphFont"/>
    <w:uiPriority w:val="99"/>
    <w:semiHidden/>
    <w:unhideWhenUsed/>
    <w:rsid w:val="001659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6633">
      <w:bodyDiv w:val="1"/>
      <w:marLeft w:val="0"/>
      <w:marRight w:val="0"/>
      <w:marTop w:val="0"/>
      <w:marBottom w:val="0"/>
      <w:divBdr>
        <w:top w:val="none" w:sz="0" w:space="0" w:color="auto"/>
        <w:left w:val="none" w:sz="0" w:space="0" w:color="auto"/>
        <w:bottom w:val="none" w:sz="0" w:space="0" w:color="auto"/>
        <w:right w:val="none" w:sz="0" w:space="0" w:color="auto"/>
      </w:divBdr>
    </w:div>
    <w:div w:id="148325934">
      <w:bodyDiv w:val="1"/>
      <w:marLeft w:val="0"/>
      <w:marRight w:val="0"/>
      <w:marTop w:val="0"/>
      <w:marBottom w:val="0"/>
      <w:divBdr>
        <w:top w:val="none" w:sz="0" w:space="0" w:color="auto"/>
        <w:left w:val="none" w:sz="0" w:space="0" w:color="auto"/>
        <w:bottom w:val="none" w:sz="0" w:space="0" w:color="auto"/>
        <w:right w:val="none" w:sz="0" w:space="0" w:color="auto"/>
      </w:divBdr>
    </w:div>
    <w:div w:id="379598148">
      <w:bodyDiv w:val="1"/>
      <w:marLeft w:val="0"/>
      <w:marRight w:val="0"/>
      <w:marTop w:val="0"/>
      <w:marBottom w:val="0"/>
      <w:divBdr>
        <w:top w:val="none" w:sz="0" w:space="0" w:color="auto"/>
        <w:left w:val="none" w:sz="0" w:space="0" w:color="auto"/>
        <w:bottom w:val="none" w:sz="0" w:space="0" w:color="auto"/>
        <w:right w:val="none" w:sz="0" w:space="0" w:color="auto"/>
      </w:divBdr>
    </w:div>
    <w:div w:id="567149471">
      <w:bodyDiv w:val="1"/>
      <w:marLeft w:val="0"/>
      <w:marRight w:val="0"/>
      <w:marTop w:val="0"/>
      <w:marBottom w:val="0"/>
      <w:divBdr>
        <w:top w:val="none" w:sz="0" w:space="0" w:color="auto"/>
        <w:left w:val="none" w:sz="0" w:space="0" w:color="auto"/>
        <w:bottom w:val="none" w:sz="0" w:space="0" w:color="auto"/>
        <w:right w:val="none" w:sz="0" w:space="0" w:color="auto"/>
      </w:divBdr>
    </w:div>
    <w:div w:id="730732257">
      <w:bodyDiv w:val="1"/>
      <w:marLeft w:val="0"/>
      <w:marRight w:val="0"/>
      <w:marTop w:val="0"/>
      <w:marBottom w:val="0"/>
      <w:divBdr>
        <w:top w:val="none" w:sz="0" w:space="0" w:color="auto"/>
        <w:left w:val="none" w:sz="0" w:space="0" w:color="auto"/>
        <w:bottom w:val="none" w:sz="0" w:space="0" w:color="auto"/>
        <w:right w:val="none" w:sz="0" w:space="0" w:color="auto"/>
      </w:divBdr>
    </w:div>
    <w:div w:id="805901147">
      <w:bodyDiv w:val="1"/>
      <w:marLeft w:val="0"/>
      <w:marRight w:val="0"/>
      <w:marTop w:val="0"/>
      <w:marBottom w:val="0"/>
      <w:divBdr>
        <w:top w:val="none" w:sz="0" w:space="0" w:color="auto"/>
        <w:left w:val="none" w:sz="0" w:space="0" w:color="auto"/>
        <w:bottom w:val="none" w:sz="0" w:space="0" w:color="auto"/>
        <w:right w:val="none" w:sz="0" w:space="0" w:color="auto"/>
      </w:divBdr>
    </w:div>
    <w:div w:id="891113686">
      <w:bodyDiv w:val="1"/>
      <w:marLeft w:val="0"/>
      <w:marRight w:val="0"/>
      <w:marTop w:val="0"/>
      <w:marBottom w:val="0"/>
      <w:divBdr>
        <w:top w:val="none" w:sz="0" w:space="0" w:color="auto"/>
        <w:left w:val="none" w:sz="0" w:space="0" w:color="auto"/>
        <w:bottom w:val="none" w:sz="0" w:space="0" w:color="auto"/>
        <w:right w:val="none" w:sz="0" w:space="0" w:color="auto"/>
      </w:divBdr>
    </w:div>
    <w:div w:id="1231312429">
      <w:bodyDiv w:val="1"/>
      <w:marLeft w:val="0"/>
      <w:marRight w:val="0"/>
      <w:marTop w:val="0"/>
      <w:marBottom w:val="0"/>
      <w:divBdr>
        <w:top w:val="none" w:sz="0" w:space="0" w:color="auto"/>
        <w:left w:val="none" w:sz="0" w:space="0" w:color="auto"/>
        <w:bottom w:val="none" w:sz="0" w:space="0" w:color="auto"/>
        <w:right w:val="none" w:sz="0" w:space="0" w:color="auto"/>
      </w:divBdr>
    </w:div>
    <w:div w:id="1314946015">
      <w:bodyDiv w:val="1"/>
      <w:marLeft w:val="0"/>
      <w:marRight w:val="0"/>
      <w:marTop w:val="0"/>
      <w:marBottom w:val="0"/>
      <w:divBdr>
        <w:top w:val="none" w:sz="0" w:space="0" w:color="auto"/>
        <w:left w:val="none" w:sz="0" w:space="0" w:color="auto"/>
        <w:bottom w:val="none" w:sz="0" w:space="0" w:color="auto"/>
        <w:right w:val="none" w:sz="0" w:space="0" w:color="auto"/>
      </w:divBdr>
    </w:div>
    <w:div w:id="1812600006">
      <w:bodyDiv w:val="1"/>
      <w:marLeft w:val="0"/>
      <w:marRight w:val="0"/>
      <w:marTop w:val="0"/>
      <w:marBottom w:val="0"/>
      <w:divBdr>
        <w:top w:val="none" w:sz="0" w:space="0" w:color="auto"/>
        <w:left w:val="none" w:sz="0" w:space="0" w:color="auto"/>
        <w:bottom w:val="none" w:sz="0" w:space="0" w:color="auto"/>
        <w:right w:val="none" w:sz="0" w:space="0" w:color="auto"/>
      </w:divBdr>
    </w:div>
    <w:div w:id="1874727617">
      <w:bodyDiv w:val="1"/>
      <w:marLeft w:val="0"/>
      <w:marRight w:val="0"/>
      <w:marTop w:val="0"/>
      <w:marBottom w:val="0"/>
      <w:divBdr>
        <w:top w:val="none" w:sz="0" w:space="0" w:color="auto"/>
        <w:left w:val="none" w:sz="0" w:space="0" w:color="auto"/>
        <w:bottom w:val="none" w:sz="0" w:space="0" w:color="auto"/>
        <w:right w:val="none" w:sz="0" w:space="0" w:color="auto"/>
      </w:divBdr>
    </w:div>
    <w:div w:id="214056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Brady%20Brewer\Google%20Drive\Research%20Projects\Lender%20Perceptions%20Survey\Results\Quarter%201,%202016\Agricultural%20Lender%20Survey,%20Quarter%201,%2020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rady%20Brewer\Google%20Drive\Research%20Projects\Lender%20Perceptions%20Survey\Results\Quarter%201,%202016\All%20years%20(Results%20only)%202016%20Quarter%20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rady%20Brewer\Google%20Drive\Research%20Projects\Lender%20Perceptions%20Survey\Results\Quarter%201,%202016\All%20years%20(Results%20only)%202016%20Quarter%204.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Brady%20Brewer\Google%20Drive\Research%20Projects\Lender%20Perceptions%20Survey\Results\Quarter%201,%202016\All%20years%20(Results%20only)%202016%20Quarter%20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rady%20Brewer\Google%20Drive\Research%20Projects\Lender%20Perceptions%20Survey\Results\Quarter%201,%202016\All%20years%20(Results%20only)%202016%20Quarter%20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rady%20Brewer\Google%20Drive\Research%20Projects\Lender%20Perceptions%20Survey\Results\Quarter%201,%202016\All%20years%20(Results%20only)%202016%20Quarter%204.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tx>
                <c:rich>
                  <a:bodyPr/>
                  <a:lstStyle/>
                  <a:p>
                    <a:fld id="{E60A3149-9BE3-4CA1-96D6-A438424ADE2C}" type="CATEGORYNAME">
                      <a:rPr lang="en-US"/>
                      <a:pPr/>
                      <a:t>[CATEGORY NAME]</a:t>
                    </a:fld>
                    <a:r>
                      <a:rPr lang="en-US" baseline="0"/>
                      <a:t> </a:t>
                    </a:r>
                    <a:fld id="{D7901703-9991-4BA4-9CB5-EC2FC078ACC2}"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386-4D1B-A5D3-2D698192150D}"/>
                </c:ext>
              </c:extLst>
            </c:dLbl>
            <c:dLbl>
              <c:idx val="1"/>
              <c:layout>
                <c:manualLayout>
                  <c:x val="4.6278433945756862E-2"/>
                  <c:y val="6.9642915005994621E-3"/>
                </c:manualLayout>
              </c:layout>
              <c:tx>
                <c:rich>
                  <a:bodyPr/>
                  <a:lstStyle/>
                  <a:p>
                    <a:fld id="{F12A1243-A4CC-42BA-B1F1-0BE94881CFBE}" type="CATEGORYNAME">
                      <a:rPr lang="en-US"/>
                      <a:pPr/>
                      <a:t>[CATEGORY NAME]</a:t>
                    </a:fld>
                    <a:r>
                      <a:rPr lang="en-US" baseline="0"/>
                      <a:t> </a:t>
                    </a:r>
                    <a:fld id="{AFF5FF88-A929-4453-9978-DF56DB3FF8CA}"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386-4D1B-A5D3-2D698192150D}"/>
                </c:ext>
              </c:extLst>
            </c:dLbl>
            <c:dLbl>
              <c:idx val="2"/>
              <c:layout>
                <c:manualLayout>
                  <c:x val="-5.6169072615923007E-2"/>
                  <c:y val="0.19933451605586339"/>
                </c:manualLayout>
              </c:layout>
              <c:tx>
                <c:rich>
                  <a:bodyPr/>
                  <a:lstStyle/>
                  <a:p>
                    <a:fld id="{B0B8C288-584D-4526-8FF1-973D3C841291}" type="CATEGORYNAME">
                      <a:rPr lang="en-US"/>
                      <a:pPr/>
                      <a:t>[CATEGORY NAME]</a:t>
                    </a:fld>
                    <a:r>
                      <a:rPr lang="en-US" baseline="0"/>
                      <a:t> </a:t>
                    </a:r>
                    <a:fld id="{9A7104A9-97E6-41FA-9B3A-3A55EA5C9EF0}"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386-4D1B-A5D3-2D698192150D}"/>
                </c:ext>
              </c:extLst>
            </c:dLbl>
            <c:dLbl>
              <c:idx val="3"/>
              <c:layout>
                <c:manualLayout>
                  <c:x val="5.7962962962962952E-2"/>
                  <c:y val="-0.30095670911506434"/>
                </c:manualLayout>
              </c:layout>
              <c:tx>
                <c:rich>
                  <a:bodyPr/>
                  <a:lstStyle/>
                  <a:p>
                    <a:fld id="{B6E48FC0-6EDD-4793-A071-E31276D40DA1}" type="CATEGORYNAME">
                      <a:rPr lang="en-US"/>
                      <a:pPr/>
                      <a:t>[CATEGORY NAME]</a:t>
                    </a:fld>
                    <a:r>
                      <a:rPr lang="en-US" baseline="0"/>
                      <a:t> </a:t>
                    </a:r>
                    <a:fld id="{EB5D13B0-6CC7-4BE9-B8A8-15C09558B99B}"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386-4D1B-A5D3-2D698192150D}"/>
                </c:ext>
              </c:extLst>
            </c:dLbl>
            <c:dLbl>
              <c:idx val="4"/>
              <c:layout>
                <c:manualLayout>
                  <c:x val="-2.1992381160688246E-2"/>
                  <c:y val="-4.6792472700171735E-2"/>
                </c:manualLayout>
              </c:layout>
              <c:tx>
                <c:rich>
                  <a:bodyPr/>
                  <a:lstStyle/>
                  <a:p>
                    <a:fld id="{E180A058-C9E9-41C4-BA92-76A5527C013A}" type="CATEGORYNAME">
                      <a:rPr lang="en-US"/>
                      <a:pPr/>
                      <a:t>[CATEGORY NAME]</a:t>
                    </a:fld>
                    <a:endParaRPr lang="en-US"/>
                  </a:p>
                  <a:p>
                    <a:r>
                      <a:rPr lang="en-US" baseline="0"/>
                      <a:t> </a:t>
                    </a:r>
                    <a:fld id="{FDBE4ADE-3A88-453C-846D-EC3FADCF7DB1}"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2386-4D1B-A5D3-2D698192150D}"/>
                </c:ext>
              </c:extLst>
            </c:dLbl>
            <c:spPr>
              <a:noFill/>
              <a:ln>
                <a:noFill/>
              </a:ln>
              <a:effectLst/>
            </c:spPr>
            <c:dLblPos val="bestFit"/>
            <c:showLegendKey val="0"/>
            <c:showVal val="1"/>
            <c:showCatName val="1"/>
            <c:showSerName val="0"/>
            <c:showPercent val="0"/>
            <c:showBubbleSize val="0"/>
            <c:showLeaderLines val="1"/>
            <c:extLst>
              <c:ext xmlns:c15="http://schemas.microsoft.com/office/drawing/2012/chart" uri="{CE6537A1-D6FC-4f65-9D91-7224C49458BB}"/>
            </c:extLst>
          </c:dLbls>
          <c:cat>
            <c:strRef>
              <c:f>'Demographic Graph Data'!$D$6:$D$10</c:f>
              <c:strCache>
                <c:ptCount val="5"/>
                <c:pt idx="0">
                  <c:v>Atlantic</c:v>
                </c:pt>
                <c:pt idx="1">
                  <c:v>South</c:v>
                </c:pt>
                <c:pt idx="2">
                  <c:v>Midwest</c:v>
                </c:pt>
                <c:pt idx="3">
                  <c:v>Plains</c:v>
                </c:pt>
                <c:pt idx="4">
                  <c:v>West</c:v>
                </c:pt>
              </c:strCache>
            </c:strRef>
          </c:cat>
          <c:val>
            <c:numRef>
              <c:f>'Demographic Graph Data'!$F$6:$F$10</c:f>
              <c:numCache>
                <c:formatCode>0%</c:formatCode>
                <c:ptCount val="5"/>
                <c:pt idx="0">
                  <c:v>7.1428571428571425E-2</c:v>
                </c:pt>
                <c:pt idx="1">
                  <c:v>7.1428571428571425E-2</c:v>
                </c:pt>
                <c:pt idx="2">
                  <c:v>0.32142857142857145</c:v>
                </c:pt>
                <c:pt idx="3">
                  <c:v>0.5357142857142857</c:v>
                </c:pt>
                <c:pt idx="4">
                  <c:v>0</c:v>
                </c:pt>
              </c:numCache>
            </c:numRef>
          </c:val>
          <c:extLst>
            <c:ext xmlns:c16="http://schemas.microsoft.com/office/drawing/2014/chart" uri="{C3380CC4-5D6E-409C-BE32-E72D297353CC}">
              <c16:uniqueId val="{00000005-2386-4D1B-A5D3-2D698192150D}"/>
            </c:ext>
          </c:extLst>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1894474729121"/>
          <c:y val="3.2692931934744908E-2"/>
          <c:w val="0.86497678174843529"/>
          <c:h val="0.77562185248045412"/>
        </c:manualLayout>
      </c:layout>
      <c:barChart>
        <c:barDir val="col"/>
        <c:grouping val="clustered"/>
        <c:varyColors val="0"/>
        <c:ser>
          <c:idx val="0"/>
          <c:order val="0"/>
          <c:tx>
            <c:strRef>
              <c:f>'Data in Graph form'!$B$5</c:f>
              <c:strCache>
                <c:ptCount val="1"/>
                <c:pt idx="0">
                  <c:v>Spring 2013</c:v>
                </c:pt>
              </c:strCache>
            </c:strRef>
          </c:tx>
          <c:invertIfNegative val="0"/>
          <c:cat>
            <c:multiLvlStrRef>
              <c:f>'Data in Graph form'!$C$3:$K$4</c:f>
              <c:multiLvlStrCache>
                <c:ptCount val="9"/>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lvl>
                <c:lvl>
                  <c:pt idx="0">
                    <c:v>Farm Real Estate</c:v>
                  </c:pt>
                  <c:pt idx="3">
                    <c:v>Intermediate</c:v>
                  </c:pt>
                  <c:pt idx="6">
                    <c:v>Operating</c:v>
                  </c:pt>
                </c:lvl>
              </c:multiLvlStrCache>
            </c:multiLvlStrRef>
          </c:cat>
          <c:val>
            <c:numRef>
              <c:f>'Data in Graph form'!$C$5:$K$5</c:f>
              <c:numCache>
                <c:formatCode>0</c:formatCode>
                <c:ptCount val="9"/>
                <c:pt idx="0">
                  <c:v>47.692307692307686</c:v>
                </c:pt>
                <c:pt idx="1">
                  <c:v>103.07692307692307</c:v>
                </c:pt>
                <c:pt idx="2">
                  <c:v>183.07692307692307</c:v>
                </c:pt>
                <c:pt idx="3">
                  <c:v>49.230769230769234</c:v>
                </c:pt>
                <c:pt idx="4">
                  <c:v>98.461538461538467</c:v>
                </c:pt>
                <c:pt idx="5">
                  <c:v>186.15384615384616</c:v>
                </c:pt>
                <c:pt idx="6">
                  <c:v>51.5625</c:v>
                </c:pt>
                <c:pt idx="7">
                  <c:v>92.1875</c:v>
                </c:pt>
                <c:pt idx="8">
                  <c:v>187.69230769230768</c:v>
                </c:pt>
              </c:numCache>
            </c:numRef>
          </c:val>
          <c:extLst>
            <c:ext xmlns:c16="http://schemas.microsoft.com/office/drawing/2014/chart" uri="{C3380CC4-5D6E-409C-BE32-E72D297353CC}">
              <c16:uniqueId val="{00000000-8A8C-434B-A2A2-8999FA8F4D81}"/>
            </c:ext>
          </c:extLst>
        </c:ser>
        <c:ser>
          <c:idx val="1"/>
          <c:order val="1"/>
          <c:tx>
            <c:strRef>
              <c:f>'Data in Graph form'!$B$6</c:f>
              <c:strCache>
                <c:ptCount val="1"/>
                <c:pt idx="0">
                  <c:v>Fall 2013</c:v>
                </c:pt>
              </c:strCache>
            </c:strRef>
          </c:tx>
          <c:invertIfNegative val="0"/>
          <c:cat>
            <c:multiLvlStrRef>
              <c:f>'Data in Graph form'!$C$3:$K$4</c:f>
              <c:multiLvlStrCache>
                <c:ptCount val="9"/>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lvl>
                <c:lvl>
                  <c:pt idx="0">
                    <c:v>Farm Real Estate</c:v>
                  </c:pt>
                  <c:pt idx="3">
                    <c:v>Intermediate</c:v>
                  </c:pt>
                  <c:pt idx="6">
                    <c:v>Operating</c:v>
                  </c:pt>
                </c:lvl>
              </c:multiLvlStrCache>
            </c:multiLvlStrRef>
          </c:cat>
          <c:val>
            <c:numRef>
              <c:f>'Data in Graph form'!$C$6:$K$6</c:f>
              <c:numCache>
                <c:formatCode>0</c:formatCode>
                <c:ptCount val="9"/>
                <c:pt idx="0">
                  <c:v>122.03389830508475</c:v>
                </c:pt>
                <c:pt idx="1">
                  <c:v>149.12280701754386</c:v>
                </c:pt>
                <c:pt idx="2">
                  <c:v>181.35593220338984</c:v>
                </c:pt>
                <c:pt idx="3">
                  <c:v>94.736842105263165</c:v>
                </c:pt>
                <c:pt idx="4">
                  <c:v>149.12280701754386</c:v>
                </c:pt>
                <c:pt idx="5">
                  <c:v>178.94736842105263</c:v>
                </c:pt>
                <c:pt idx="6">
                  <c:v>94.736842105263165</c:v>
                </c:pt>
                <c:pt idx="7">
                  <c:v>135.08771929824562</c:v>
                </c:pt>
                <c:pt idx="8">
                  <c:v>180.7017543859649</c:v>
                </c:pt>
              </c:numCache>
            </c:numRef>
          </c:val>
          <c:extLst>
            <c:ext xmlns:c16="http://schemas.microsoft.com/office/drawing/2014/chart" uri="{C3380CC4-5D6E-409C-BE32-E72D297353CC}">
              <c16:uniqueId val="{00000001-8A8C-434B-A2A2-8999FA8F4D81}"/>
            </c:ext>
          </c:extLst>
        </c:ser>
        <c:ser>
          <c:idx val="2"/>
          <c:order val="2"/>
          <c:tx>
            <c:strRef>
              <c:f>'Data in Graph form'!$B$7</c:f>
              <c:strCache>
                <c:ptCount val="1"/>
                <c:pt idx="0">
                  <c:v>Spring 2014</c:v>
                </c:pt>
              </c:strCache>
            </c:strRef>
          </c:tx>
          <c:invertIfNegative val="0"/>
          <c:cat>
            <c:multiLvlStrRef>
              <c:f>'Data in Graph form'!$C$3:$K$4</c:f>
              <c:multiLvlStrCache>
                <c:ptCount val="9"/>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lvl>
                <c:lvl>
                  <c:pt idx="0">
                    <c:v>Farm Real Estate</c:v>
                  </c:pt>
                  <c:pt idx="3">
                    <c:v>Intermediate</c:v>
                  </c:pt>
                  <c:pt idx="6">
                    <c:v>Operating</c:v>
                  </c:pt>
                </c:lvl>
              </c:multiLvlStrCache>
            </c:multiLvlStrRef>
          </c:cat>
          <c:val>
            <c:numRef>
              <c:f>'Data in Graph form'!$C$7:$K$7</c:f>
              <c:numCache>
                <c:formatCode>0</c:formatCode>
                <c:ptCount val="9"/>
                <c:pt idx="0">
                  <c:v>105.17241379310344</c:v>
                </c:pt>
                <c:pt idx="1">
                  <c:v>139.655172413793</c:v>
                </c:pt>
                <c:pt idx="2">
                  <c:v>194.82758620689654</c:v>
                </c:pt>
                <c:pt idx="3">
                  <c:v>100</c:v>
                </c:pt>
                <c:pt idx="4">
                  <c:v>139.28571428571428</c:v>
                </c:pt>
                <c:pt idx="5">
                  <c:v>196.42857142857144</c:v>
                </c:pt>
                <c:pt idx="6">
                  <c:v>89.090909090909093</c:v>
                </c:pt>
                <c:pt idx="7">
                  <c:v>132.72727272727272</c:v>
                </c:pt>
                <c:pt idx="8">
                  <c:v>192.72727272727272</c:v>
                </c:pt>
              </c:numCache>
            </c:numRef>
          </c:val>
          <c:extLst>
            <c:ext xmlns:c16="http://schemas.microsoft.com/office/drawing/2014/chart" uri="{C3380CC4-5D6E-409C-BE32-E72D297353CC}">
              <c16:uniqueId val="{00000002-8A8C-434B-A2A2-8999FA8F4D81}"/>
            </c:ext>
          </c:extLst>
        </c:ser>
        <c:ser>
          <c:idx val="3"/>
          <c:order val="3"/>
          <c:tx>
            <c:strRef>
              <c:f>'Data in Graph form'!$B$8</c:f>
              <c:strCache>
                <c:ptCount val="1"/>
                <c:pt idx="0">
                  <c:v>Fall 2014</c:v>
                </c:pt>
              </c:strCache>
            </c:strRef>
          </c:tx>
          <c:invertIfNegative val="0"/>
          <c:cat>
            <c:multiLvlStrRef>
              <c:f>'Data in Graph form'!$C$3:$K$4</c:f>
              <c:multiLvlStrCache>
                <c:ptCount val="9"/>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lvl>
                <c:lvl>
                  <c:pt idx="0">
                    <c:v>Farm Real Estate</c:v>
                  </c:pt>
                  <c:pt idx="3">
                    <c:v>Intermediate</c:v>
                  </c:pt>
                  <c:pt idx="6">
                    <c:v>Operating</c:v>
                  </c:pt>
                </c:lvl>
              </c:multiLvlStrCache>
            </c:multiLvlStrRef>
          </c:cat>
          <c:val>
            <c:numRef>
              <c:f>'Data in Graph form'!$C$8:$K$8</c:f>
              <c:numCache>
                <c:formatCode>0</c:formatCode>
                <c:ptCount val="9"/>
                <c:pt idx="0">
                  <c:v>97.674418604651152</c:v>
                </c:pt>
                <c:pt idx="1">
                  <c:v>151.16279069767441</c:v>
                </c:pt>
                <c:pt idx="2">
                  <c:v>195.3488372093023</c:v>
                </c:pt>
                <c:pt idx="3">
                  <c:v>95.121951219512198</c:v>
                </c:pt>
                <c:pt idx="4">
                  <c:v>148.78048780487805</c:v>
                </c:pt>
                <c:pt idx="5">
                  <c:v>192.6829268292683</c:v>
                </c:pt>
                <c:pt idx="6">
                  <c:v>92.682926829268297</c:v>
                </c:pt>
                <c:pt idx="7">
                  <c:v>145.23809523809524</c:v>
                </c:pt>
                <c:pt idx="8">
                  <c:v>192.85714285714286</c:v>
                </c:pt>
              </c:numCache>
            </c:numRef>
          </c:val>
          <c:extLst>
            <c:ext xmlns:c16="http://schemas.microsoft.com/office/drawing/2014/chart" uri="{C3380CC4-5D6E-409C-BE32-E72D297353CC}">
              <c16:uniqueId val="{00000003-8A8C-434B-A2A2-8999FA8F4D81}"/>
            </c:ext>
          </c:extLst>
        </c:ser>
        <c:ser>
          <c:idx val="4"/>
          <c:order val="4"/>
          <c:tx>
            <c:strRef>
              <c:f>'Data in Graph form'!$B$9</c:f>
              <c:strCache>
                <c:ptCount val="1"/>
                <c:pt idx="0">
                  <c:v>Spring 2015</c:v>
                </c:pt>
              </c:strCache>
            </c:strRef>
          </c:tx>
          <c:invertIfNegative val="0"/>
          <c:cat>
            <c:multiLvlStrRef>
              <c:f>'Data in Graph form'!$C$3:$K$4</c:f>
              <c:multiLvlStrCache>
                <c:ptCount val="9"/>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lvl>
                <c:lvl>
                  <c:pt idx="0">
                    <c:v>Farm Real Estate</c:v>
                  </c:pt>
                  <c:pt idx="3">
                    <c:v>Intermediate</c:v>
                  </c:pt>
                  <c:pt idx="6">
                    <c:v>Operating</c:v>
                  </c:pt>
                </c:lvl>
              </c:multiLvlStrCache>
            </c:multiLvlStrRef>
          </c:cat>
          <c:val>
            <c:numRef>
              <c:f>'Data in Graph form'!$C$9:$K$9</c:f>
              <c:numCache>
                <c:formatCode>0</c:formatCode>
                <c:ptCount val="9"/>
                <c:pt idx="0">
                  <c:v>86.486486486486484</c:v>
                </c:pt>
                <c:pt idx="1">
                  <c:v>156.75675675675674</c:v>
                </c:pt>
                <c:pt idx="2">
                  <c:v>191.89189189189187</c:v>
                </c:pt>
                <c:pt idx="3">
                  <c:v>88.571428571428569</c:v>
                </c:pt>
                <c:pt idx="4">
                  <c:v>160</c:v>
                </c:pt>
                <c:pt idx="5">
                  <c:v>191.42857142857142</c:v>
                </c:pt>
                <c:pt idx="6">
                  <c:v>88.888888888888886</c:v>
                </c:pt>
                <c:pt idx="7">
                  <c:v>161.11111111111111</c:v>
                </c:pt>
                <c:pt idx="8">
                  <c:v>194.44444444444443</c:v>
                </c:pt>
              </c:numCache>
            </c:numRef>
          </c:val>
          <c:extLst>
            <c:ext xmlns:c16="http://schemas.microsoft.com/office/drawing/2014/chart" uri="{C3380CC4-5D6E-409C-BE32-E72D297353CC}">
              <c16:uniqueId val="{00000004-8A8C-434B-A2A2-8999FA8F4D81}"/>
            </c:ext>
          </c:extLst>
        </c:ser>
        <c:ser>
          <c:idx val="5"/>
          <c:order val="5"/>
          <c:tx>
            <c:strRef>
              <c:f>'Data in Graph form'!$B$10</c:f>
              <c:strCache>
                <c:ptCount val="1"/>
                <c:pt idx="0">
                  <c:v>Fall 2015</c:v>
                </c:pt>
              </c:strCache>
            </c:strRef>
          </c:tx>
          <c:invertIfNegative val="0"/>
          <c:cat>
            <c:multiLvlStrRef>
              <c:f>'Data in Graph form'!$C$3:$K$4</c:f>
              <c:multiLvlStrCache>
                <c:ptCount val="9"/>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lvl>
                <c:lvl>
                  <c:pt idx="0">
                    <c:v>Farm Real Estate</c:v>
                  </c:pt>
                  <c:pt idx="3">
                    <c:v>Intermediate</c:v>
                  </c:pt>
                  <c:pt idx="6">
                    <c:v>Operating</c:v>
                  </c:pt>
                </c:lvl>
              </c:multiLvlStrCache>
            </c:multiLvlStrRef>
          </c:cat>
          <c:val>
            <c:numRef>
              <c:f>'Data in Graph form'!$C$10:$K$10</c:f>
              <c:numCache>
                <c:formatCode>0</c:formatCode>
                <c:ptCount val="9"/>
                <c:pt idx="0">
                  <c:v>107.89473684210526</c:v>
                </c:pt>
                <c:pt idx="1">
                  <c:v>165.78947368421052</c:v>
                </c:pt>
                <c:pt idx="2">
                  <c:v>197.36842105263159</c:v>
                </c:pt>
                <c:pt idx="3">
                  <c:v>102.70270270270269</c:v>
                </c:pt>
                <c:pt idx="4">
                  <c:v>157.89473684210526</c:v>
                </c:pt>
                <c:pt idx="5">
                  <c:v>197.36842105263159</c:v>
                </c:pt>
                <c:pt idx="6">
                  <c:v>94.444444444444443</c:v>
                </c:pt>
                <c:pt idx="7">
                  <c:v>167.56756756756758</c:v>
                </c:pt>
                <c:pt idx="8">
                  <c:v>197.29729729729729</c:v>
                </c:pt>
              </c:numCache>
            </c:numRef>
          </c:val>
          <c:extLst>
            <c:ext xmlns:c16="http://schemas.microsoft.com/office/drawing/2014/chart" uri="{C3380CC4-5D6E-409C-BE32-E72D297353CC}">
              <c16:uniqueId val="{00000005-8A8C-434B-A2A2-8999FA8F4D81}"/>
            </c:ext>
          </c:extLst>
        </c:ser>
        <c:ser>
          <c:idx val="6"/>
          <c:order val="6"/>
          <c:tx>
            <c:strRef>
              <c:f>'Data in Graph form'!$B$11</c:f>
              <c:strCache>
                <c:ptCount val="1"/>
                <c:pt idx="0">
                  <c:v>Spring 2016</c:v>
                </c:pt>
              </c:strCache>
            </c:strRef>
          </c:tx>
          <c:invertIfNegative val="0"/>
          <c:cat>
            <c:multiLvlStrRef>
              <c:f>'Data in Graph form'!$C$3:$K$4</c:f>
              <c:multiLvlStrCache>
                <c:ptCount val="9"/>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lvl>
                <c:lvl>
                  <c:pt idx="0">
                    <c:v>Farm Real Estate</c:v>
                  </c:pt>
                  <c:pt idx="3">
                    <c:v>Intermediate</c:v>
                  </c:pt>
                  <c:pt idx="6">
                    <c:v>Operating</c:v>
                  </c:pt>
                </c:lvl>
              </c:multiLvlStrCache>
            </c:multiLvlStrRef>
          </c:cat>
          <c:val>
            <c:numRef>
              <c:f>'Data in Graph form'!$C$11:$K$11</c:f>
              <c:numCache>
                <c:formatCode>0</c:formatCode>
                <c:ptCount val="9"/>
                <c:pt idx="0">
                  <c:v>141.93548387096774</c:v>
                </c:pt>
                <c:pt idx="1">
                  <c:v>167.74193548387095</c:v>
                </c:pt>
                <c:pt idx="2">
                  <c:v>196.7741935483871</c:v>
                </c:pt>
                <c:pt idx="3">
                  <c:v>143.33333333333334</c:v>
                </c:pt>
                <c:pt idx="4">
                  <c:v>170</c:v>
                </c:pt>
                <c:pt idx="5">
                  <c:v>196.66666666666669</c:v>
                </c:pt>
                <c:pt idx="6">
                  <c:v>150</c:v>
                </c:pt>
                <c:pt idx="7">
                  <c:v>173.33333333333334</c:v>
                </c:pt>
                <c:pt idx="8">
                  <c:v>196.66666666666669</c:v>
                </c:pt>
              </c:numCache>
            </c:numRef>
          </c:val>
          <c:extLst>
            <c:ext xmlns:c16="http://schemas.microsoft.com/office/drawing/2014/chart" uri="{C3380CC4-5D6E-409C-BE32-E72D297353CC}">
              <c16:uniqueId val="{00000006-8A8C-434B-A2A2-8999FA8F4D81}"/>
            </c:ext>
          </c:extLst>
        </c:ser>
        <c:dLbls>
          <c:showLegendKey val="0"/>
          <c:showVal val="0"/>
          <c:showCatName val="0"/>
          <c:showSerName val="0"/>
          <c:showPercent val="0"/>
          <c:showBubbleSize val="0"/>
        </c:dLbls>
        <c:gapWidth val="150"/>
        <c:axId val="419647680"/>
        <c:axId val="414652320"/>
      </c:barChart>
      <c:catAx>
        <c:axId val="419647680"/>
        <c:scaling>
          <c:orientation val="minMax"/>
        </c:scaling>
        <c:delete val="0"/>
        <c:axPos val="b"/>
        <c:numFmt formatCode="General" sourceLinked="0"/>
        <c:majorTickMark val="out"/>
        <c:minorTickMark val="none"/>
        <c:tickLblPos val="low"/>
        <c:crossAx val="414652320"/>
        <c:crossesAt val="100"/>
        <c:auto val="1"/>
        <c:lblAlgn val="ctr"/>
        <c:lblOffset val="100"/>
        <c:noMultiLvlLbl val="0"/>
      </c:catAx>
      <c:valAx>
        <c:axId val="414652320"/>
        <c:scaling>
          <c:orientation val="minMax"/>
          <c:max val="200"/>
        </c:scaling>
        <c:delete val="0"/>
        <c:axPos val="l"/>
        <c:title>
          <c:tx>
            <c:rich>
              <a:bodyPr/>
              <a:lstStyle/>
              <a:p>
                <a:pPr>
                  <a:defRPr/>
                </a:pPr>
                <a:r>
                  <a:rPr lang="en-US"/>
                  <a:t>Diffusion Index</a:t>
                </a:r>
              </a:p>
            </c:rich>
          </c:tx>
          <c:overlay val="0"/>
        </c:title>
        <c:numFmt formatCode="0" sourceLinked="1"/>
        <c:majorTickMark val="out"/>
        <c:minorTickMark val="none"/>
        <c:tickLblPos val="nextTo"/>
        <c:crossAx val="419647680"/>
        <c:crosses val="autoZero"/>
        <c:crossBetween val="between"/>
      </c:valAx>
    </c:plotArea>
    <c:legend>
      <c:legendPos val="b"/>
      <c:layout>
        <c:manualLayout>
          <c:xMode val="edge"/>
          <c:yMode val="edge"/>
          <c:x val="0.12905982905982907"/>
          <c:y val="0.72884890051287743"/>
          <c:w val="0.83162393162393144"/>
          <c:h val="5.324768370384797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1894474729121"/>
          <c:y val="3.2692931934744908E-2"/>
          <c:w val="0.86497678174843529"/>
          <c:h val="0.76973257097279801"/>
        </c:manualLayout>
      </c:layout>
      <c:barChart>
        <c:barDir val="col"/>
        <c:grouping val="clustered"/>
        <c:varyColors val="0"/>
        <c:ser>
          <c:idx val="0"/>
          <c:order val="0"/>
          <c:tx>
            <c:strRef>
              <c:f>'Data in Graph form'!$B$16</c:f>
              <c:strCache>
                <c:ptCount val="1"/>
                <c:pt idx="0">
                  <c:v>Spring 2013</c:v>
                </c:pt>
              </c:strCache>
            </c:strRef>
          </c:tx>
          <c:invertIfNegative val="0"/>
          <c:cat>
            <c:multiLvlStrRef>
              <c:f>'Data in Graph form'!$C$14:$K$15</c:f>
              <c:multiLvlStrCache>
                <c:ptCount val="9"/>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lvl>
                <c:lvl>
                  <c:pt idx="0">
                    <c:v>Farm Real Estate</c:v>
                  </c:pt>
                  <c:pt idx="3">
                    <c:v>Intermediate</c:v>
                  </c:pt>
                  <c:pt idx="6">
                    <c:v>Operating</c:v>
                  </c:pt>
                </c:lvl>
              </c:multiLvlStrCache>
            </c:multiLvlStrRef>
          </c:cat>
          <c:val>
            <c:numRef>
              <c:f>'Data in Graph form'!$C$16:$K$16</c:f>
              <c:numCache>
                <c:formatCode>0</c:formatCode>
                <c:ptCount val="9"/>
                <c:pt idx="0">
                  <c:v>53.968253968253968</c:v>
                </c:pt>
                <c:pt idx="1">
                  <c:v>55.555555555555557</c:v>
                </c:pt>
                <c:pt idx="2">
                  <c:v>108.06451612903226</c:v>
                </c:pt>
                <c:pt idx="3">
                  <c:v>50</c:v>
                </c:pt>
                <c:pt idx="4">
                  <c:v>55.737704918032783</c:v>
                </c:pt>
                <c:pt idx="5">
                  <c:v>107.93650793650794</c:v>
                </c:pt>
                <c:pt idx="6">
                  <c:v>45.161290322580641</c:v>
                </c:pt>
                <c:pt idx="7">
                  <c:v>60.317460317460323</c:v>
                </c:pt>
                <c:pt idx="8">
                  <c:v>112.9032258064516</c:v>
                </c:pt>
              </c:numCache>
            </c:numRef>
          </c:val>
          <c:extLst>
            <c:ext xmlns:c16="http://schemas.microsoft.com/office/drawing/2014/chart" uri="{C3380CC4-5D6E-409C-BE32-E72D297353CC}">
              <c16:uniqueId val="{00000000-FDBF-44A5-B09D-CFC9518CA30C}"/>
            </c:ext>
          </c:extLst>
        </c:ser>
        <c:ser>
          <c:idx val="1"/>
          <c:order val="1"/>
          <c:tx>
            <c:strRef>
              <c:f>'Data in Graph form'!$B$17</c:f>
              <c:strCache>
                <c:ptCount val="1"/>
                <c:pt idx="0">
                  <c:v>Fall 2013</c:v>
                </c:pt>
              </c:strCache>
            </c:strRef>
          </c:tx>
          <c:invertIfNegative val="0"/>
          <c:cat>
            <c:multiLvlStrRef>
              <c:f>'Data in Graph form'!$C$14:$K$15</c:f>
              <c:multiLvlStrCache>
                <c:ptCount val="9"/>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lvl>
                <c:lvl>
                  <c:pt idx="0">
                    <c:v>Farm Real Estate</c:v>
                  </c:pt>
                  <c:pt idx="3">
                    <c:v>Intermediate</c:v>
                  </c:pt>
                  <c:pt idx="6">
                    <c:v>Operating</c:v>
                  </c:pt>
                </c:lvl>
              </c:multiLvlStrCache>
            </c:multiLvlStrRef>
          </c:cat>
          <c:val>
            <c:numRef>
              <c:f>'Data in Graph form'!$C$17:$K$17</c:f>
              <c:numCache>
                <c:formatCode>0</c:formatCode>
                <c:ptCount val="9"/>
                <c:pt idx="0">
                  <c:v>72.881355932203391</c:v>
                </c:pt>
                <c:pt idx="1">
                  <c:v>100</c:v>
                </c:pt>
                <c:pt idx="2">
                  <c:v>130.5084745762712</c:v>
                </c:pt>
                <c:pt idx="3">
                  <c:v>78.94736842105263</c:v>
                </c:pt>
                <c:pt idx="4">
                  <c:v>103.50877192982458</c:v>
                </c:pt>
                <c:pt idx="5">
                  <c:v>133.33333333333331</c:v>
                </c:pt>
                <c:pt idx="6">
                  <c:v>75.438596491228068</c:v>
                </c:pt>
                <c:pt idx="7">
                  <c:v>100</c:v>
                </c:pt>
                <c:pt idx="8">
                  <c:v>128.07017543859649</c:v>
                </c:pt>
              </c:numCache>
            </c:numRef>
          </c:val>
          <c:extLst>
            <c:ext xmlns:c16="http://schemas.microsoft.com/office/drawing/2014/chart" uri="{C3380CC4-5D6E-409C-BE32-E72D297353CC}">
              <c16:uniqueId val="{00000001-FDBF-44A5-B09D-CFC9518CA30C}"/>
            </c:ext>
          </c:extLst>
        </c:ser>
        <c:ser>
          <c:idx val="2"/>
          <c:order val="2"/>
          <c:tx>
            <c:strRef>
              <c:f>'Data in Graph form'!$B$18</c:f>
              <c:strCache>
                <c:ptCount val="1"/>
                <c:pt idx="0">
                  <c:v>Spring 2014</c:v>
                </c:pt>
              </c:strCache>
            </c:strRef>
          </c:tx>
          <c:invertIfNegative val="0"/>
          <c:cat>
            <c:multiLvlStrRef>
              <c:f>'Data in Graph form'!$C$14:$K$15</c:f>
              <c:multiLvlStrCache>
                <c:ptCount val="9"/>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lvl>
                <c:lvl>
                  <c:pt idx="0">
                    <c:v>Farm Real Estate</c:v>
                  </c:pt>
                  <c:pt idx="3">
                    <c:v>Intermediate</c:v>
                  </c:pt>
                  <c:pt idx="6">
                    <c:v>Operating</c:v>
                  </c:pt>
                </c:lvl>
              </c:multiLvlStrCache>
            </c:multiLvlStrRef>
          </c:cat>
          <c:val>
            <c:numRef>
              <c:f>'Data in Graph form'!$C$18:$K$18</c:f>
              <c:numCache>
                <c:formatCode>0</c:formatCode>
                <c:ptCount val="9"/>
                <c:pt idx="0">
                  <c:v>77.192982456140342</c:v>
                </c:pt>
                <c:pt idx="1">
                  <c:v>77.192982456140342</c:v>
                </c:pt>
                <c:pt idx="2">
                  <c:v>105.26315789473684</c:v>
                </c:pt>
                <c:pt idx="3">
                  <c:v>81.818181818181813</c:v>
                </c:pt>
                <c:pt idx="4">
                  <c:v>80</c:v>
                </c:pt>
                <c:pt idx="5">
                  <c:v>101.81818181818181</c:v>
                </c:pt>
                <c:pt idx="6">
                  <c:v>82.142857142857139</c:v>
                </c:pt>
                <c:pt idx="7">
                  <c:v>85.454545454545453</c:v>
                </c:pt>
                <c:pt idx="8">
                  <c:v>107.27272727272728</c:v>
                </c:pt>
              </c:numCache>
            </c:numRef>
          </c:val>
          <c:extLst>
            <c:ext xmlns:c16="http://schemas.microsoft.com/office/drawing/2014/chart" uri="{C3380CC4-5D6E-409C-BE32-E72D297353CC}">
              <c16:uniqueId val="{00000002-FDBF-44A5-B09D-CFC9518CA30C}"/>
            </c:ext>
          </c:extLst>
        </c:ser>
        <c:ser>
          <c:idx val="3"/>
          <c:order val="3"/>
          <c:tx>
            <c:strRef>
              <c:f>'Data in Graph form'!$B$19</c:f>
              <c:strCache>
                <c:ptCount val="1"/>
                <c:pt idx="0">
                  <c:v>Fall 2014</c:v>
                </c:pt>
              </c:strCache>
            </c:strRef>
          </c:tx>
          <c:invertIfNegative val="0"/>
          <c:cat>
            <c:multiLvlStrRef>
              <c:f>'Data in Graph form'!$C$14:$K$15</c:f>
              <c:multiLvlStrCache>
                <c:ptCount val="9"/>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lvl>
                <c:lvl>
                  <c:pt idx="0">
                    <c:v>Farm Real Estate</c:v>
                  </c:pt>
                  <c:pt idx="3">
                    <c:v>Intermediate</c:v>
                  </c:pt>
                  <c:pt idx="6">
                    <c:v>Operating</c:v>
                  </c:pt>
                </c:lvl>
              </c:multiLvlStrCache>
            </c:multiLvlStrRef>
          </c:cat>
          <c:val>
            <c:numRef>
              <c:f>'Data in Graph form'!$C$19:$K$19</c:f>
              <c:numCache>
                <c:formatCode>0</c:formatCode>
                <c:ptCount val="9"/>
                <c:pt idx="0">
                  <c:v>74.418604651162795</c:v>
                </c:pt>
                <c:pt idx="1">
                  <c:v>90.697674418604663</c:v>
                </c:pt>
                <c:pt idx="2">
                  <c:v>120.93023255813952</c:v>
                </c:pt>
                <c:pt idx="3">
                  <c:v>73.170731707317074</c:v>
                </c:pt>
                <c:pt idx="4">
                  <c:v>90.243902439024396</c:v>
                </c:pt>
                <c:pt idx="5">
                  <c:v>124.39024390243902</c:v>
                </c:pt>
                <c:pt idx="6">
                  <c:v>73.170731707317074</c:v>
                </c:pt>
                <c:pt idx="7">
                  <c:v>95.121951219512198</c:v>
                </c:pt>
                <c:pt idx="8">
                  <c:v>126.82926829268293</c:v>
                </c:pt>
              </c:numCache>
            </c:numRef>
          </c:val>
          <c:extLst>
            <c:ext xmlns:c16="http://schemas.microsoft.com/office/drawing/2014/chart" uri="{C3380CC4-5D6E-409C-BE32-E72D297353CC}">
              <c16:uniqueId val="{00000003-FDBF-44A5-B09D-CFC9518CA30C}"/>
            </c:ext>
          </c:extLst>
        </c:ser>
        <c:ser>
          <c:idx val="4"/>
          <c:order val="4"/>
          <c:tx>
            <c:strRef>
              <c:f>'Data in Graph form'!$B$20</c:f>
              <c:strCache>
                <c:ptCount val="1"/>
                <c:pt idx="0">
                  <c:v>Spring 2015</c:v>
                </c:pt>
              </c:strCache>
            </c:strRef>
          </c:tx>
          <c:invertIfNegative val="0"/>
          <c:cat>
            <c:multiLvlStrRef>
              <c:f>'Data in Graph form'!$C$14:$K$15</c:f>
              <c:multiLvlStrCache>
                <c:ptCount val="9"/>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lvl>
                <c:lvl>
                  <c:pt idx="0">
                    <c:v>Farm Real Estate</c:v>
                  </c:pt>
                  <c:pt idx="3">
                    <c:v>Intermediate</c:v>
                  </c:pt>
                  <c:pt idx="6">
                    <c:v>Operating</c:v>
                  </c:pt>
                </c:lvl>
              </c:multiLvlStrCache>
            </c:multiLvlStrRef>
          </c:cat>
          <c:val>
            <c:numRef>
              <c:f>'Data in Graph form'!$C$20:$K$20</c:f>
              <c:numCache>
                <c:formatCode>0</c:formatCode>
                <c:ptCount val="9"/>
                <c:pt idx="0">
                  <c:v>70.27027027027026</c:v>
                </c:pt>
                <c:pt idx="1">
                  <c:v>94.594594594594597</c:v>
                </c:pt>
                <c:pt idx="2">
                  <c:v>121.62162162162163</c:v>
                </c:pt>
                <c:pt idx="3">
                  <c:v>74.285714285714292</c:v>
                </c:pt>
                <c:pt idx="4">
                  <c:v>91.428571428571431</c:v>
                </c:pt>
                <c:pt idx="5">
                  <c:v>114.28571428571428</c:v>
                </c:pt>
                <c:pt idx="6">
                  <c:v>75</c:v>
                </c:pt>
                <c:pt idx="7">
                  <c:v>94.444444444444443</c:v>
                </c:pt>
                <c:pt idx="8">
                  <c:v>122.22222222222223</c:v>
                </c:pt>
              </c:numCache>
            </c:numRef>
          </c:val>
          <c:extLst>
            <c:ext xmlns:c16="http://schemas.microsoft.com/office/drawing/2014/chart" uri="{C3380CC4-5D6E-409C-BE32-E72D297353CC}">
              <c16:uniqueId val="{00000004-FDBF-44A5-B09D-CFC9518CA30C}"/>
            </c:ext>
          </c:extLst>
        </c:ser>
        <c:ser>
          <c:idx val="5"/>
          <c:order val="5"/>
          <c:tx>
            <c:strRef>
              <c:f>'Data in Graph form'!$B$21</c:f>
              <c:strCache>
                <c:ptCount val="1"/>
                <c:pt idx="0">
                  <c:v>Fall 2015</c:v>
                </c:pt>
              </c:strCache>
            </c:strRef>
          </c:tx>
          <c:invertIfNegative val="0"/>
          <c:cat>
            <c:multiLvlStrRef>
              <c:f>'Data in Graph form'!$C$14:$K$15</c:f>
              <c:multiLvlStrCache>
                <c:ptCount val="9"/>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lvl>
                <c:lvl>
                  <c:pt idx="0">
                    <c:v>Farm Real Estate</c:v>
                  </c:pt>
                  <c:pt idx="3">
                    <c:v>Intermediate</c:v>
                  </c:pt>
                  <c:pt idx="6">
                    <c:v>Operating</c:v>
                  </c:pt>
                </c:lvl>
              </c:multiLvlStrCache>
            </c:multiLvlStrRef>
          </c:cat>
          <c:val>
            <c:numRef>
              <c:f>'Data in Graph form'!$C$21:$K$21</c:f>
              <c:numCache>
                <c:formatCode>0</c:formatCode>
                <c:ptCount val="9"/>
                <c:pt idx="0">
                  <c:v>71.05263157894737</c:v>
                </c:pt>
                <c:pt idx="1">
                  <c:v>94.736842105263165</c:v>
                </c:pt>
                <c:pt idx="2">
                  <c:v>126.31578947368421</c:v>
                </c:pt>
                <c:pt idx="3">
                  <c:v>80.555555555555557</c:v>
                </c:pt>
                <c:pt idx="4">
                  <c:v>94.594594594594597</c:v>
                </c:pt>
                <c:pt idx="5">
                  <c:v>124.32432432432432</c:v>
                </c:pt>
                <c:pt idx="6">
                  <c:v>77.777777777777786</c:v>
                </c:pt>
                <c:pt idx="7">
                  <c:v>94.444444444444443</c:v>
                </c:pt>
                <c:pt idx="8">
                  <c:v>124.32432432432432</c:v>
                </c:pt>
              </c:numCache>
            </c:numRef>
          </c:val>
          <c:extLst>
            <c:ext xmlns:c16="http://schemas.microsoft.com/office/drawing/2014/chart" uri="{C3380CC4-5D6E-409C-BE32-E72D297353CC}">
              <c16:uniqueId val="{00000005-FDBF-44A5-B09D-CFC9518CA30C}"/>
            </c:ext>
          </c:extLst>
        </c:ser>
        <c:ser>
          <c:idx val="6"/>
          <c:order val="6"/>
          <c:tx>
            <c:strRef>
              <c:f>'Data in Graph form'!$B$22</c:f>
              <c:strCache>
                <c:ptCount val="1"/>
                <c:pt idx="0">
                  <c:v>Spring 2016</c:v>
                </c:pt>
              </c:strCache>
            </c:strRef>
          </c:tx>
          <c:invertIfNegative val="0"/>
          <c:cat>
            <c:multiLvlStrRef>
              <c:f>'Data in Graph form'!$C$14:$K$15</c:f>
              <c:multiLvlStrCache>
                <c:ptCount val="9"/>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lvl>
                <c:lvl>
                  <c:pt idx="0">
                    <c:v>Farm Real Estate</c:v>
                  </c:pt>
                  <c:pt idx="3">
                    <c:v>Intermediate</c:v>
                  </c:pt>
                  <c:pt idx="6">
                    <c:v>Operating</c:v>
                  </c:pt>
                </c:lvl>
              </c:multiLvlStrCache>
            </c:multiLvlStrRef>
          </c:cat>
          <c:val>
            <c:numRef>
              <c:f>'Data in Graph form'!$C$22:$K$22</c:f>
              <c:numCache>
                <c:formatCode>0</c:formatCode>
                <c:ptCount val="9"/>
                <c:pt idx="0">
                  <c:v>103.2258064516129</c:v>
                </c:pt>
                <c:pt idx="1">
                  <c:v>119.35483870967742</c:v>
                </c:pt>
                <c:pt idx="2">
                  <c:v>132.25806451612905</c:v>
                </c:pt>
                <c:pt idx="3">
                  <c:v>96.666666666666671</c:v>
                </c:pt>
                <c:pt idx="4">
                  <c:v>126.66666666666666</c:v>
                </c:pt>
                <c:pt idx="5">
                  <c:v>136.66666666666666</c:v>
                </c:pt>
                <c:pt idx="6">
                  <c:v>106.66666666666667</c:v>
                </c:pt>
                <c:pt idx="7">
                  <c:v>136.66666666666666</c:v>
                </c:pt>
                <c:pt idx="8">
                  <c:v>140</c:v>
                </c:pt>
              </c:numCache>
            </c:numRef>
          </c:val>
          <c:extLst>
            <c:ext xmlns:c16="http://schemas.microsoft.com/office/drawing/2014/chart" uri="{C3380CC4-5D6E-409C-BE32-E72D297353CC}">
              <c16:uniqueId val="{00000006-FDBF-44A5-B09D-CFC9518CA30C}"/>
            </c:ext>
          </c:extLst>
        </c:ser>
        <c:dLbls>
          <c:showLegendKey val="0"/>
          <c:showVal val="0"/>
          <c:showCatName val="0"/>
          <c:showSerName val="0"/>
          <c:showPercent val="0"/>
          <c:showBubbleSize val="0"/>
        </c:dLbls>
        <c:gapWidth val="150"/>
        <c:axId val="341737432"/>
        <c:axId val="342163648"/>
      </c:barChart>
      <c:catAx>
        <c:axId val="341737432"/>
        <c:scaling>
          <c:orientation val="minMax"/>
        </c:scaling>
        <c:delete val="0"/>
        <c:axPos val="b"/>
        <c:numFmt formatCode="General" sourceLinked="0"/>
        <c:majorTickMark val="out"/>
        <c:minorTickMark val="none"/>
        <c:tickLblPos val="low"/>
        <c:crossAx val="342163648"/>
        <c:crossesAt val="100"/>
        <c:auto val="1"/>
        <c:lblAlgn val="ctr"/>
        <c:lblOffset val="100"/>
        <c:noMultiLvlLbl val="0"/>
      </c:catAx>
      <c:valAx>
        <c:axId val="342163648"/>
        <c:scaling>
          <c:orientation val="minMax"/>
          <c:max val="200"/>
        </c:scaling>
        <c:delete val="0"/>
        <c:axPos val="l"/>
        <c:title>
          <c:tx>
            <c:rich>
              <a:bodyPr/>
              <a:lstStyle/>
              <a:p>
                <a:pPr>
                  <a:defRPr/>
                </a:pPr>
                <a:r>
                  <a:rPr lang="en-US"/>
                  <a:t>Diffusion Index</a:t>
                </a:r>
              </a:p>
            </c:rich>
          </c:tx>
          <c:overlay val="0"/>
        </c:title>
        <c:numFmt formatCode="0" sourceLinked="1"/>
        <c:majorTickMark val="out"/>
        <c:minorTickMark val="none"/>
        <c:tickLblPos val="nextTo"/>
        <c:crossAx val="341737432"/>
        <c:crosses val="autoZero"/>
        <c:crossBetween val="between"/>
      </c:valAx>
    </c:plotArea>
    <c:legend>
      <c:legendPos val="b"/>
      <c:layout>
        <c:manualLayout>
          <c:xMode val="edge"/>
          <c:yMode val="edge"/>
          <c:x val="0.12905982905982907"/>
          <c:y val="0.72884890051287743"/>
          <c:w val="0.85299145299145296"/>
          <c:h val="5.324768370384797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1894474729121"/>
          <c:y val="3.2692931934744908E-2"/>
          <c:w val="0.86497678174843529"/>
          <c:h val="0.74557167765690069"/>
        </c:manualLayout>
      </c:layout>
      <c:barChart>
        <c:barDir val="col"/>
        <c:grouping val="clustered"/>
        <c:varyColors val="0"/>
        <c:ser>
          <c:idx val="0"/>
          <c:order val="0"/>
          <c:tx>
            <c:strRef>
              <c:f>'Data in Graph form'!$B$27</c:f>
              <c:strCache>
                <c:ptCount val="1"/>
                <c:pt idx="0">
                  <c:v>Spring 2013</c:v>
                </c:pt>
              </c:strCache>
            </c:strRef>
          </c:tx>
          <c:invertIfNegative val="0"/>
          <c:cat>
            <c:multiLvlStrRef>
              <c:f>'Data in Graph form'!$C$25:$N$26</c:f>
              <c:multiLvlStrCache>
                <c:ptCount val="12"/>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lvl>
                <c:lvl>
                  <c:pt idx="0">
                    <c:v>Total Farm Loans</c:v>
                  </c:pt>
                  <c:pt idx="3">
                    <c:v>Farm Real Estate</c:v>
                  </c:pt>
                  <c:pt idx="6">
                    <c:v>Intermediate</c:v>
                  </c:pt>
                  <c:pt idx="9">
                    <c:v>Operating</c:v>
                  </c:pt>
                </c:lvl>
              </c:multiLvlStrCache>
            </c:multiLvlStrRef>
          </c:cat>
          <c:val>
            <c:numRef>
              <c:f>'Data in Graph form'!$C$27:$N$27</c:f>
              <c:numCache>
                <c:formatCode>0</c:formatCode>
                <c:ptCount val="12"/>
                <c:pt idx="0">
                  <c:v>112.30769230769231</c:v>
                </c:pt>
                <c:pt idx="1">
                  <c:v>136.92307692307693</c:v>
                </c:pt>
                <c:pt idx="2">
                  <c:v>155.38461538461539</c:v>
                </c:pt>
                <c:pt idx="3">
                  <c:v>140</c:v>
                </c:pt>
                <c:pt idx="4">
                  <c:v>141.53846153846155</c:v>
                </c:pt>
                <c:pt idx="5">
                  <c:v>140</c:v>
                </c:pt>
                <c:pt idx="6">
                  <c:v>93.84615384615384</c:v>
                </c:pt>
                <c:pt idx="7">
                  <c:v>118.46153846153847</c:v>
                </c:pt>
                <c:pt idx="8">
                  <c:v>129.6875</c:v>
                </c:pt>
                <c:pt idx="9">
                  <c:v>90.769230769230774</c:v>
                </c:pt>
                <c:pt idx="10">
                  <c:v>135.9375</c:v>
                </c:pt>
                <c:pt idx="11">
                  <c:v>160</c:v>
                </c:pt>
              </c:numCache>
            </c:numRef>
          </c:val>
          <c:extLst>
            <c:ext xmlns:c16="http://schemas.microsoft.com/office/drawing/2014/chart" uri="{C3380CC4-5D6E-409C-BE32-E72D297353CC}">
              <c16:uniqueId val="{00000000-F21D-4C6E-84E0-DCBCD7DE06B8}"/>
            </c:ext>
          </c:extLst>
        </c:ser>
        <c:ser>
          <c:idx val="1"/>
          <c:order val="1"/>
          <c:tx>
            <c:strRef>
              <c:f>'Data in Graph form'!$B$28</c:f>
              <c:strCache>
                <c:ptCount val="1"/>
                <c:pt idx="0">
                  <c:v>Fall 2013</c:v>
                </c:pt>
              </c:strCache>
            </c:strRef>
          </c:tx>
          <c:invertIfNegative val="0"/>
          <c:cat>
            <c:multiLvlStrRef>
              <c:f>'Data in Graph form'!$C$25:$N$26</c:f>
              <c:multiLvlStrCache>
                <c:ptCount val="12"/>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lvl>
                <c:lvl>
                  <c:pt idx="0">
                    <c:v>Total Farm Loans</c:v>
                  </c:pt>
                  <c:pt idx="3">
                    <c:v>Farm Real Estate</c:v>
                  </c:pt>
                  <c:pt idx="6">
                    <c:v>Intermediate</c:v>
                  </c:pt>
                  <c:pt idx="9">
                    <c:v>Operating</c:v>
                  </c:pt>
                </c:lvl>
              </c:multiLvlStrCache>
            </c:multiLvlStrRef>
          </c:cat>
          <c:val>
            <c:numRef>
              <c:f>'Data in Graph form'!$C$28:$N$28</c:f>
              <c:numCache>
                <c:formatCode>0</c:formatCode>
                <c:ptCount val="12"/>
                <c:pt idx="0">
                  <c:v>144.06779661016949</c:v>
                </c:pt>
                <c:pt idx="1">
                  <c:v>159.32203389830508</c:v>
                </c:pt>
                <c:pt idx="2">
                  <c:v>161.0169491525424</c:v>
                </c:pt>
                <c:pt idx="3">
                  <c:v>135.59322033898303</c:v>
                </c:pt>
                <c:pt idx="4">
                  <c:v>137.28813559322032</c:v>
                </c:pt>
                <c:pt idx="5">
                  <c:v>140.67796610169492</c:v>
                </c:pt>
                <c:pt idx="6">
                  <c:v>116.07142857142856</c:v>
                </c:pt>
                <c:pt idx="7">
                  <c:v>133.33333333333331</c:v>
                </c:pt>
                <c:pt idx="8">
                  <c:v>142.10526315789474</c:v>
                </c:pt>
                <c:pt idx="9">
                  <c:v>121.05263157894737</c:v>
                </c:pt>
                <c:pt idx="10">
                  <c:v>149.12280701754386</c:v>
                </c:pt>
                <c:pt idx="11">
                  <c:v>159.64912280701756</c:v>
                </c:pt>
              </c:numCache>
            </c:numRef>
          </c:val>
          <c:extLst>
            <c:ext xmlns:c16="http://schemas.microsoft.com/office/drawing/2014/chart" uri="{C3380CC4-5D6E-409C-BE32-E72D297353CC}">
              <c16:uniqueId val="{00000001-F21D-4C6E-84E0-DCBCD7DE06B8}"/>
            </c:ext>
          </c:extLst>
        </c:ser>
        <c:ser>
          <c:idx val="2"/>
          <c:order val="2"/>
          <c:tx>
            <c:strRef>
              <c:f>'Data in Graph form'!$B$29</c:f>
              <c:strCache>
                <c:ptCount val="1"/>
                <c:pt idx="0">
                  <c:v>Spring 2014</c:v>
                </c:pt>
              </c:strCache>
            </c:strRef>
          </c:tx>
          <c:invertIfNegative val="0"/>
          <c:cat>
            <c:multiLvlStrRef>
              <c:f>'Data in Graph form'!$C$25:$N$26</c:f>
              <c:multiLvlStrCache>
                <c:ptCount val="12"/>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lvl>
                <c:lvl>
                  <c:pt idx="0">
                    <c:v>Total Farm Loans</c:v>
                  </c:pt>
                  <c:pt idx="3">
                    <c:v>Farm Real Estate</c:v>
                  </c:pt>
                  <c:pt idx="6">
                    <c:v>Intermediate</c:v>
                  </c:pt>
                  <c:pt idx="9">
                    <c:v>Operating</c:v>
                  </c:pt>
                </c:lvl>
              </c:multiLvlStrCache>
            </c:multiLvlStrRef>
          </c:cat>
          <c:val>
            <c:numRef>
              <c:f>'Data in Graph form'!$C$29:$N$29</c:f>
              <c:numCache>
                <c:formatCode>0</c:formatCode>
                <c:ptCount val="12"/>
                <c:pt idx="0">
                  <c:v>128.57142857142856</c:v>
                </c:pt>
                <c:pt idx="1">
                  <c:v>175</c:v>
                </c:pt>
                <c:pt idx="2">
                  <c:v>178.57142857142856</c:v>
                </c:pt>
                <c:pt idx="3">
                  <c:v>141.37931034482759</c:v>
                </c:pt>
                <c:pt idx="4">
                  <c:v>155.17241379310346</c:v>
                </c:pt>
                <c:pt idx="5">
                  <c:v>156.89655172413794</c:v>
                </c:pt>
                <c:pt idx="6">
                  <c:v>110.90909090909091</c:v>
                </c:pt>
                <c:pt idx="7">
                  <c:v>127.27272727272727</c:v>
                </c:pt>
                <c:pt idx="8">
                  <c:v>146.42857142857144</c:v>
                </c:pt>
                <c:pt idx="9">
                  <c:v>107.27272727272728</c:v>
                </c:pt>
                <c:pt idx="10">
                  <c:v>169.09090909090909</c:v>
                </c:pt>
                <c:pt idx="11">
                  <c:v>171.42857142857144</c:v>
                </c:pt>
              </c:numCache>
            </c:numRef>
          </c:val>
          <c:extLst>
            <c:ext xmlns:c16="http://schemas.microsoft.com/office/drawing/2014/chart" uri="{C3380CC4-5D6E-409C-BE32-E72D297353CC}">
              <c16:uniqueId val="{00000002-F21D-4C6E-84E0-DCBCD7DE06B8}"/>
            </c:ext>
          </c:extLst>
        </c:ser>
        <c:ser>
          <c:idx val="3"/>
          <c:order val="3"/>
          <c:tx>
            <c:strRef>
              <c:f>'Data in Graph form'!$B$30</c:f>
              <c:strCache>
                <c:ptCount val="1"/>
                <c:pt idx="0">
                  <c:v>Fall 2014</c:v>
                </c:pt>
              </c:strCache>
            </c:strRef>
          </c:tx>
          <c:invertIfNegative val="0"/>
          <c:cat>
            <c:multiLvlStrRef>
              <c:f>'Data in Graph form'!$C$25:$N$26</c:f>
              <c:multiLvlStrCache>
                <c:ptCount val="12"/>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lvl>
                <c:lvl>
                  <c:pt idx="0">
                    <c:v>Total Farm Loans</c:v>
                  </c:pt>
                  <c:pt idx="3">
                    <c:v>Farm Real Estate</c:v>
                  </c:pt>
                  <c:pt idx="6">
                    <c:v>Intermediate</c:v>
                  </c:pt>
                  <c:pt idx="9">
                    <c:v>Operating</c:v>
                  </c:pt>
                </c:lvl>
              </c:multiLvlStrCache>
            </c:multiLvlStrRef>
          </c:cat>
          <c:val>
            <c:numRef>
              <c:f>'Data in Graph form'!$C$30:$N$30</c:f>
              <c:numCache>
                <c:formatCode>0</c:formatCode>
                <c:ptCount val="12"/>
                <c:pt idx="0">
                  <c:v>141.86046511627904</c:v>
                </c:pt>
                <c:pt idx="1">
                  <c:v>146.51162790697674</c:v>
                </c:pt>
                <c:pt idx="2">
                  <c:v>167.44186046511626</c:v>
                </c:pt>
                <c:pt idx="3">
                  <c:v>127.90697674418605</c:v>
                </c:pt>
                <c:pt idx="4">
                  <c:v>113.95348837209302</c:v>
                </c:pt>
                <c:pt idx="5">
                  <c:v>153.48837209302326</c:v>
                </c:pt>
                <c:pt idx="6">
                  <c:v>117.07317073170731</c:v>
                </c:pt>
                <c:pt idx="7">
                  <c:v>124.39024390243902</c:v>
                </c:pt>
                <c:pt idx="8">
                  <c:v>141.46341463414635</c:v>
                </c:pt>
                <c:pt idx="9">
                  <c:v>146.34146341463415</c:v>
                </c:pt>
                <c:pt idx="10">
                  <c:v>160.97560975609758</c:v>
                </c:pt>
                <c:pt idx="11">
                  <c:v>168.29268292682929</c:v>
                </c:pt>
              </c:numCache>
            </c:numRef>
          </c:val>
          <c:extLst>
            <c:ext xmlns:c16="http://schemas.microsoft.com/office/drawing/2014/chart" uri="{C3380CC4-5D6E-409C-BE32-E72D297353CC}">
              <c16:uniqueId val="{00000003-F21D-4C6E-84E0-DCBCD7DE06B8}"/>
            </c:ext>
          </c:extLst>
        </c:ser>
        <c:ser>
          <c:idx val="4"/>
          <c:order val="4"/>
          <c:tx>
            <c:strRef>
              <c:f>'Data in Graph form'!$B$31</c:f>
              <c:strCache>
                <c:ptCount val="1"/>
                <c:pt idx="0">
                  <c:v>Spring 2015</c:v>
                </c:pt>
              </c:strCache>
            </c:strRef>
          </c:tx>
          <c:invertIfNegative val="0"/>
          <c:cat>
            <c:multiLvlStrRef>
              <c:f>'Data in Graph form'!$C$25:$N$26</c:f>
              <c:multiLvlStrCache>
                <c:ptCount val="12"/>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lvl>
                <c:lvl>
                  <c:pt idx="0">
                    <c:v>Total Farm Loans</c:v>
                  </c:pt>
                  <c:pt idx="3">
                    <c:v>Farm Real Estate</c:v>
                  </c:pt>
                  <c:pt idx="6">
                    <c:v>Intermediate</c:v>
                  </c:pt>
                  <c:pt idx="9">
                    <c:v>Operating</c:v>
                  </c:pt>
                </c:lvl>
              </c:multiLvlStrCache>
            </c:multiLvlStrRef>
          </c:cat>
          <c:val>
            <c:numRef>
              <c:f>'Data in Graph form'!$C$31:$N$31</c:f>
              <c:numCache>
                <c:formatCode>0</c:formatCode>
                <c:ptCount val="12"/>
                <c:pt idx="0">
                  <c:v>151.35135135135135</c:v>
                </c:pt>
                <c:pt idx="1">
                  <c:v>162.16216216216216</c:v>
                </c:pt>
                <c:pt idx="2">
                  <c:v>167.56756756756758</c:v>
                </c:pt>
                <c:pt idx="3">
                  <c:v>118.91891891891892</c:v>
                </c:pt>
                <c:pt idx="4">
                  <c:v>113.51351351351352</c:v>
                </c:pt>
                <c:pt idx="5">
                  <c:v>143.24324324324326</c:v>
                </c:pt>
                <c:pt idx="6">
                  <c:v>134.28571428571431</c:v>
                </c:pt>
                <c:pt idx="7">
                  <c:v>117.14285714285715</c:v>
                </c:pt>
                <c:pt idx="8">
                  <c:v>155.55555555555554</c:v>
                </c:pt>
                <c:pt idx="9">
                  <c:v>141.66666666666669</c:v>
                </c:pt>
                <c:pt idx="10">
                  <c:v>169.44444444444443</c:v>
                </c:pt>
                <c:pt idx="11">
                  <c:v>172.22222222222223</c:v>
                </c:pt>
              </c:numCache>
            </c:numRef>
          </c:val>
          <c:extLst>
            <c:ext xmlns:c16="http://schemas.microsoft.com/office/drawing/2014/chart" uri="{C3380CC4-5D6E-409C-BE32-E72D297353CC}">
              <c16:uniqueId val="{00000004-F21D-4C6E-84E0-DCBCD7DE06B8}"/>
            </c:ext>
          </c:extLst>
        </c:ser>
        <c:ser>
          <c:idx val="5"/>
          <c:order val="5"/>
          <c:tx>
            <c:strRef>
              <c:f>'Data in Graph form'!$B$32</c:f>
              <c:strCache>
                <c:ptCount val="1"/>
                <c:pt idx="0">
                  <c:v>Fall 2015</c:v>
                </c:pt>
              </c:strCache>
            </c:strRef>
          </c:tx>
          <c:invertIfNegative val="0"/>
          <c:cat>
            <c:multiLvlStrRef>
              <c:f>'Data in Graph form'!$C$25:$N$26</c:f>
              <c:multiLvlStrCache>
                <c:ptCount val="12"/>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lvl>
                <c:lvl>
                  <c:pt idx="0">
                    <c:v>Total Farm Loans</c:v>
                  </c:pt>
                  <c:pt idx="3">
                    <c:v>Farm Real Estate</c:v>
                  </c:pt>
                  <c:pt idx="6">
                    <c:v>Intermediate</c:v>
                  </c:pt>
                  <c:pt idx="9">
                    <c:v>Operating</c:v>
                  </c:pt>
                </c:lvl>
              </c:multiLvlStrCache>
            </c:multiLvlStrRef>
          </c:cat>
          <c:val>
            <c:numRef>
              <c:f>'Data in Graph form'!$C$32:$N$32</c:f>
              <c:numCache>
                <c:formatCode>0</c:formatCode>
                <c:ptCount val="12"/>
                <c:pt idx="0">
                  <c:v>162.16216216216216</c:v>
                </c:pt>
                <c:pt idx="1">
                  <c:v>178.37837837837839</c:v>
                </c:pt>
                <c:pt idx="2">
                  <c:v>162.16216216216216</c:v>
                </c:pt>
                <c:pt idx="3">
                  <c:v>131.57894736842107</c:v>
                </c:pt>
                <c:pt idx="4">
                  <c:v>123.68421052631579</c:v>
                </c:pt>
                <c:pt idx="5">
                  <c:v>139.47368421052633</c:v>
                </c:pt>
                <c:pt idx="6">
                  <c:v>110.81081081081081</c:v>
                </c:pt>
                <c:pt idx="7">
                  <c:v>108.10810810810811</c:v>
                </c:pt>
                <c:pt idx="8">
                  <c:v>127.02702702702702</c:v>
                </c:pt>
                <c:pt idx="9">
                  <c:v>169.44444444444443</c:v>
                </c:pt>
                <c:pt idx="10">
                  <c:v>183.33333333333334</c:v>
                </c:pt>
                <c:pt idx="11">
                  <c:v>180.55555555555557</c:v>
                </c:pt>
              </c:numCache>
            </c:numRef>
          </c:val>
          <c:extLst>
            <c:ext xmlns:c16="http://schemas.microsoft.com/office/drawing/2014/chart" uri="{C3380CC4-5D6E-409C-BE32-E72D297353CC}">
              <c16:uniqueId val="{00000005-F21D-4C6E-84E0-DCBCD7DE06B8}"/>
            </c:ext>
          </c:extLst>
        </c:ser>
        <c:ser>
          <c:idx val="6"/>
          <c:order val="6"/>
          <c:tx>
            <c:strRef>
              <c:f>'Data in Graph form'!$B$33</c:f>
              <c:strCache>
                <c:ptCount val="1"/>
                <c:pt idx="0">
                  <c:v>Spring 2016</c:v>
                </c:pt>
              </c:strCache>
            </c:strRef>
          </c:tx>
          <c:invertIfNegative val="0"/>
          <c:cat>
            <c:multiLvlStrRef>
              <c:f>'Data in Graph form'!$C$25:$N$26</c:f>
              <c:multiLvlStrCache>
                <c:ptCount val="12"/>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lvl>
                <c:lvl>
                  <c:pt idx="0">
                    <c:v>Total Farm Loans</c:v>
                  </c:pt>
                  <c:pt idx="3">
                    <c:v>Farm Real Estate</c:v>
                  </c:pt>
                  <c:pt idx="6">
                    <c:v>Intermediate</c:v>
                  </c:pt>
                  <c:pt idx="9">
                    <c:v>Operating</c:v>
                  </c:pt>
                </c:lvl>
              </c:multiLvlStrCache>
            </c:multiLvlStrRef>
          </c:cat>
          <c:val>
            <c:numRef>
              <c:f>'Data in Graph form'!$C$33:$N$33</c:f>
              <c:numCache>
                <c:formatCode>0</c:formatCode>
                <c:ptCount val="12"/>
                <c:pt idx="0">
                  <c:v>166.66666666666666</c:v>
                </c:pt>
                <c:pt idx="1">
                  <c:v>166.66666666666666</c:v>
                </c:pt>
                <c:pt idx="2">
                  <c:v>176.66666666666666</c:v>
                </c:pt>
                <c:pt idx="3">
                  <c:v>138.70967741935485</c:v>
                </c:pt>
                <c:pt idx="4">
                  <c:v>138.70967741935485</c:v>
                </c:pt>
                <c:pt idx="5">
                  <c:v>138.70967741935485</c:v>
                </c:pt>
                <c:pt idx="6">
                  <c:v>140</c:v>
                </c:pt>
                <c:pt idx="7">
                  <c:v>116.66666666666666</c:v>
                </c:pt>
                <c:pt idx="8">
                  <c:v>150</c:v>
                </c:pt>
                <c:pt idx="9">
                  <c:v>163.33333333333334</c:v>
                </c:pt>
                <c:pt idx="10">
                  <c:v>163.33333333333334</c:v>
                </c:pt>
                <c:pt idx="11">
                  <c:v>173.33333333333334</c:v>
                </c:pt>
              </c:numCache>
            </c:numRef>
          </c:val>
          <c:extLst>
            <c:ext xmlns:c16="http://schemas.microsoft.com/office/drawing/2014/chart" uri="{C3380CC4-5D6E-409C-BE32-E72D297353CC}">
              <c16:uniqueId val="{00000006-F21D-4C6E-84E0-DCBCD7DE06B8}"/>
            </c:ext>
          </c:extLst>
        </c:ser>
        <c:dLbls>
          <c:showLegendKey val="0"/>
          <c:showVal val="0"/>
          <c:showCatName val="0"/>
          <c:showSerName val="0"/>
          <c:showPercent val="0"/>
          <c:showBubbleSize val="0"/>
        </c:dLbls>
        <c:gapWidth val="150"/>
        <c:axId val="350859664"/>
        <c:axId val="416156144"/>
      </c:barChart>
      <c:catAx>
        <c:axId val="350859664"/>
        <c:scaling>
          <c:orientation val="minMax"/>
        </c:scaling>
        <c:delete val="0"/>
        <c:axPos val="b"/>
        <c:numFmt formatCode="General" sourceLinked="0"/>
        <c:majorTickMark val="out"/>
        <c:minorTickMark val="none"/>
        <c:tickLblPos val="low"/>
        <c:crossAx val="416156144"/>
        <c:crossesAt val="100"/>
        <c:auto val="1"/>
        <c:lblAlgn val="ctr"/>
        <c:lblOffset val="100"/>
        <c:noMultiLvlLbl val="0"/>
      </c:catAx>
      <c:valAx>
        <c:axId val="416156144"/>
        <c:scaling>
          <c:orientation val="minMax"/>
          <c:min val="0"/>
        </c:scaling>
        <c:delete val="0"/>
        <c:axPos val="l"/>
        <c:title>
          <c:tx>
            <c:rich>
              <a:bodyPr/>
              <a:lstStyle/>
              <a:p>
                <a:pPr>
                  <a:defRPr/>
                </a:pPr>
                <a:r>
                  <a:rPr lang="en-US"/>
                  <a:t>Diffusion Index</a:t>
                </a:r>
              </a:p>
            </c:rich>
          </c:tx>
          <c:overlay val="0"/>
        </c:title>
        <c:numFmt formatCode="0" sourceLinked="1"/>
        <c:majorTickMark val="out"/>
        <c:minorTickMark val="none"/>
        <c:tickLblPos val="nextTo"/>
        <c:crossAx val="350859664"/>
        <c:crosses val="autoZero"/>
        <c:crossBetween val="between"/>
      </c:valAx>
    </c:plotArea>
    <c:legend>
      <c:legendPos val="b"/>
      <c:layout>
        <c:manualLayout>
          <c:xMode val="edge"/>
          <c:yMode val="edge"/>
          <c:x val="0.12905982905982907"/>
          <c:y val="0.71118105598990944"/>
          <c:w val="0.84444444444444444"/>
          <c:h val="5.324768370384797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1894474729121"/>
          <c:y val="3.2692931934744908E-2"/>
          <c:w val="0.86497678174843529"/>
          <c:h val="0.74557167765690069"/>
        </c:manualLayout>
      </c:layout>
      <c:barChart>
        <c:barDir val="col"/>
        <c:grouping val="clustered"/>
        <c:varyColors val="0"/>
        <c:ser>
          <c:idx val="0"/>
          <c:order val="0"/>
          <c:tx>
            <c:strRef>
              <c:f>'Data in Graph form'!$B$38</c:f>
              <c:strCache>
                <c:ptCount val="1"/>
                <c:pt idx="0">
                  <c:v>Spring 2013</c:v>
                </c:pt>
              </c:strCache>
            </c:strRef>
          </c:tx>
          <c:invertIfNegative val="0"/>
          <c:cat>
            <c:multiLvlStrRef>
              <c:f>'Data in Graph form'!$C$36:$N$37</c:f>
              <c:multiLvlStrCache>
                <c:ptCount val="12"/>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lvl>
                <c:lvl>
                  <c:pt idx="0">
                    <c:v>Total Farm Loans</c:v>
                  </c:pt>
                  <c:pt idx="3">
                    <c:v>Farm Real Estate</c:v>
                  </c:pt>
                  <c:pt idx="6">
                    <c:v>Intermediate</c:v>
                  </c:pt>
                  <c:pt idx="9">
                    <c:v>Operating</c:v>
                  </c:pt>
                </c:lvl>
              </c:multiLvlStrCache>
            </c:multiLvlStrRef>
          </c:cat>
          <c:val>
            <c:numRef>
              <c:f>'Data in Graph form'!$C$38:$N$38</c:f>
              <c:numCache>
                <c:formatCode>0</c:formatCode>
                <c:ptCount val="12"/>
                <c:pt idx="0">
                  <c:v>71.875</c:v>
                </c:pt>
                <c:pt idx="1">
                  <c:v>75</c:v>
                </c:pt>
                <c:pt idx="2">
                  <c:v>101.5625</c:v>
                </c:pt>
                <c:pt idx="3">
                  <c:v>72.58064516129032</c:v>
                </c:pt>
                <c:pt idx="4">
                  <c:v>73.770491803278688</c:v>
                </c:pt>
                <c:pt idx="5">
                  <c:v>96.825396825396822</c:v>
                </c:pt>
                <c:pt idx="6">
                  <c:v>72.58064516129032</c:v>
                </c:pt>
                <c:pt idx="7">
                  <c:v>77.41935483870968</c:v>
                </c:pt>
                <c:pt idx="8">
                  <c:v>101.61290322580645</c:v>
                </c:pt>
                <c:pt idx="9">
                  <c:v>79.032258064516128</c:v>
                </c:pt>
                <c:pt idx="10">
                  <c:v>77.049180327868854</c:v>
                </c:pt>
                <c:pt idx="11">
                  <c:v>103.2258064516129</c:v>
                </c:pt>
              </c:numCache>
            </c:numRef>
          </c:val>
          <c:extLst>
            <c:ext xmlns:c16="http://schemas.microsoft.com/office/drawing/2014/chart" uri="{C3380CC4-5D6E-409C-BE32-E72D297353CC}">
              <c16:uniqueId val="{00000000-2257-4BAE-9882-C910C1D2AFF3}"/>
            </c:ext>
          </c:extLst>
        </c:ser>
        <c:ser>
          <c:idx val="1"/>
          <c:order val="1"/>
          <c:tx>
            <c:strRef>
              <c:f>'Data in Graph form'!$B$39</c:f>
              <c:strCache>
                <c:ptCount val="1"/>
                <c:pt idx="0">
                  <c:v>Fall 2013</c:v>
                </c:pt>
              </c:strCache>
            </c:strRef>
          </c:tx>
          <c:invertIfNegative val="0"/>
          <c:cat>
            <c:multiLvlStrRef>
              <c:f>'Data in Graph form'!$C$36:$N$37</c:f>
              <c:multiLvlStrCache>
                <c:ptCount val="12"/>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lvl>
                <c:lvl>
                  <c:pt idx="0">
                    <c:v>Total Farm Loans</c:v>
                  </c:pt>
                  <c:pt idx="3">
                    <c:v>Farm Real Estate</c:v>
                  </c:pt>
                  <c:pt idx="6">
                    <c:v>Intermediate</c:v>
                  </c:pt>
                  <c:pt idx="9">
                    <c:v>Operating</c:v>
                  </c:pt>
                </c:lvl>
              </c:multiLvlStrCache>
            </c:multiLvlStrRef>
          </c:cat>
          <c:val>
            <c:numRef>
              <c:f>'Data in Graph form'!$C$39:$N$39</c:f>
              <c:numCache>
                <c:formatCode>0</c:formatCode>
                <c:ptCount val="12"/>
                <c:pt idx="0">
                  <c:v>70.370370370370367</c:v>
                </c:pt>
                <c:pt idx="1">
                  <c:v>94.642857142857139</c:v>
                </c:pt>
                <c:pt idx="2">
                  <c:v>126.31578947368421</c:v>
                </c:pt>
                <c:pt idx="3">
                  <c:v>77.777777777777786</c:v>
                </c:pt>
                <c:pt idx="4">
                  <c:v>90.909090909090907</c:v>
                </c:pt>
                <c:pt idx="5">
                  <c:v>126.31578947368421</c:v>
                </c:pt>
                <c:pt idx="6">
                  <c:v>73.07692307692308</c:v>
                </c:pt>
                <c:pt idx="7">
                  <c:v>92.592592592592595</c:v>
                </c:pt>
                <c:pt idx="8">
                  <c:v>125.45454545454547</c:v>
                </c:pt>
                <c:pt idx="9">
                  <c:v>76.923076923076934</c:v>
                </c:pt>
                <c:pt idx="10">
                  <c:v>101.85185185185186</c:v>
                </c:pt>
                <c:pt idx="11">
                  <c:v>133.92857142857144</c:v>
                </c:pt>
              </c:numCache>
            </c:numRef>
          </c:val>
          <c:extLst>
            <c:ext xmlns:c16="http://schemas.microsoft.com/office/drawing/2014/chart" uri="{C3380CC4-5D6E-409C-BE32-E72D297353CC}">
              <c16:uniqueId val="{00000001-2257-4BAE-9882-C910C1D2AFF3}"/>
            </c:ext>
          </c:extLst>
        </c:ser>
        <c:ser>
          <c:idx val="2"/>
          <c:order val="2"/>
          <c:tx>
            <c:strRef>
              <c:f>'Data in Graph form'!$B$40</c:f>
              <c:strCache>
                <c:ptCount val="1"/>
                <c:pt idx="0">
                  <c:v>Spring 2014</c:v>
                </c:pt>
              </c:strCache>
            </c:strRef>
          </c:tx>
          <c:invertIfNegative val="0"/>
          <c:cat>
            <c:multiLvlStrRef>
              <c:f>'Data in Graph form'!$C$36:$N$37</c:f>
              <c:multiLvlStrCache>
                <c:ptCount val="12"/>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lvl>
                <c:lvl>
                  <c:pt idx="0">
                    <c:v>Total Farm Loans</c:v>
                  </c:pt>
                  <c:pt idx="3">
                    <c:v>Farm Real Estate</c:v>
                  </c:pt>
                  <c:pt idx="6">
                    <c:v>Intermediate</c:v>
                  </c:pt>
                  <c:pt idx="9">
                    <c:v>Operating</c:v>
                  </c:pt>
                </c:lvl>
              </c:multiLvlStrCache>
            </c:multiLvlStrRef>
          </c:cat>
          <c:val>
            <c:numRef>
              <c:f>'Data in Graph form'!$C$40:$N$40</c:f>
              <c:numCache>
                <c:formatCode>0</c:formatCode>
                <c:ptCount val="12"/>
                <c:pt idx="0">
                  <c:v>74.509803921568633</c:v>
                </c:pt>
                <c:pt idx="1">
                  <c:v>112.96296296296295</c:v>
                </c:pt>
                <c:pt idx="2">
                  <c:v>145.45454545454547</c:v>
                </c:pt>
                <c:pt idx="3">
                  <c:v>75.471698113207552</c:v>
                </c:pt>
                <c:pt idx="4">
                  <c:v>110.90909090909091</c:v>
                </c:pt>
                <c:pt idx="5">
                  <c:v>144.64285714285717</c:v>
                </c:pt>
                <c:pt idx="6">
                  <c:v>82</c:v>
                </c:pt>
                <c:pt idx="7">
                  <c:v>107.54716981132076</c:v>
                </c:pt>
                <c:pt idx="8">
                  <c:v>140.74074074074073</c:v>
                </c:pt>
                <c:pt idx="9">
                  <c:v>83.673469387755105</c:v>
                </c:pt>
                <c:pt idx="10">
                  <c:v>121.15384615384615</c:v>
                </c:pt>
                <c:pt idx="11">
                  <c:v>150</c:v>
                </c:pt>
              </c:numCache>
            </c:numRef>
          </c:val>
          <c:extLst>
            <c:ext xmlns:c16="http://schemas.microsoft.com/office/drawing/2014/chart" uri="{C3380CC4-5D6E-409C-BE32-E72D297353CC}">
              <c16:uniqueId val="{00000002-2257-4BAE-9882-C910C1D2AFF3}"/>
            </c:ext>
          </c:extLst>
        </c:ser>
        <c:ser>
          <c:idx val="3"/>
          <c:order val="3"/>
          <c:tx>
            <c:strRef>
              <c:f>'Data in Graph form'!$B$41</c:f>
              <c:strCache>
                <c:ptCount val="1"/>
                <c:pt idx="0">
                  <c:v>Fall 2014</c:v>
                </c:pt>
              </c:strCache>
            </c:strRef>
          </c:tx>
          <c:invertIfNegative val="0"/>
          <c:cat>
            <c:multiLvlStrRef>
              <c:f>'Data in Graph form'!$C$36:$N$37</c:f>
              <c:multiLvlStrCache>
                <c:ptCount val="12"/>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lvl>
                <c:lvl>
                  <c:pt idx="0">
                    <c:v>Total Farm Loans</c:v>
                  </c:pt>
                  <c:pt idx="3">
                    <c:v>Farm Real Estate</c:v>
                  </c:pt>
                  <c:pt idx="6">
                    <c:v>Intermediate</c:v>
                  </c:pt>
                  <c:pt idx="9">
                    <c:v>Operating</c:v>
                  </c:pt>
                </c:lvl>
              </c:multiLvlStrCache>
            </c:multiLvlStrRef>
          </c:cat>
          <c:val>
            <c:numRef>
              <c:f>'Data in Graph form'!$C$41:$N$41</c:f>
              <c:numCache>
                <c:formatCode>0</c:formatCode>
                <c:ptCount val="12"/>
                <c:pt idx="0">
                  <c:v>68.421052631578945</c:v>
                </c:pt>
                <c:pt idx="1">
                  <c:v>141.46341463414635</c:v>
                </c:pt>
                <c:pt idx="2">
                  <c:v>147.61904761904762</c:v>
                </c:pt>
                <c:pt idx="3">
                  <c:v>73.68421052631578</c:v>
                </c:pt>
                <c:pt idx="4">
                  <c:v>121.95121951219512</c:v>
                </c:pt>
                <c:pt idx="5">
                  <c:v>135.71428571428572</c:v>
                </c:pt>
                <c:pt idx="6">
                  <c:v>71.428571428571431</c:v>
                </c:pt>
                <c:pt idx="7">
                  <c:v>123.07692307692308</c:v>
                </c:pt>
                <c:pt idx="8">
                  <c:v>131.70731707317074</c:v>
                </c:pt>
                <c:pt idx="9">
                  <c:v>82.857142857142861</c:v>
                </c:pt>
                <c:pt idx="10">
                  <c:v>151.28205128205127</c:v>
                </c:pt>
                <c:pt idx="11">
                  <c:v>142.5</c:v>
                </c:pt>
              </c:numCache>
            </c:numRef>
          </c:val>
          <c:extLst>
            <c:ext xmlns:c16="http://schemas.microsoft.com/office/drawing/2014/chart" uri="{C3380CC4-5D6E-409C-BE32-E72D297353CC}">
              <c16:uniqueId val="{00000003-2257-4BAE-9882-C910C1D2AFF3}"/>
            </c:ext>
          </c:extLst>
        </c:ser>
        <c:ser>
          <c:idx val="4"/>
          <c:order val="4"/>
          <c:tx>
            <c:strRef>
              <c:f>'Data in Graph form'!$B$42</c:f>
              <c:strCache>
                <c:ptCount val="1"/>
                <c:pt idx="0">
                  <c:v>Spring 2015</c:v>
                </c:pt>
              </c:strCache>
            </c:strRef>
          </c:tx>
          <c:invertIfNegative val="0"/>
          <c:cat>
            <c:multiLvlStrRef>
              <c:f>'Data in Graph form'!$C$36:$N$37</c:f>
              <c:multiLvlStrCache>
                <c:ptCount val="12"/>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lvl>
                <c:lvl>
                  <c:pt idx="0">
                    <c:v>Total Farm Loans</c:v>
                  </c:pt>
                  <c:pt idx="3">
                    <c:v>Farm Real Estate</c:v>
                  </c:pt>
                  <c:pt idx="6">
                    <c:v>Intermediate</c:v>
                  </c:pt>
                  <c:pt idx="9">
                    <c:v>Operating</c:v>
                  </c:pt>
                </c:lvl>
              </c:multiLvlStrCache>
            </c:multiLvlStrRef>
          </c:cat>
          <c:val>
            <c:numRef>
              <c:f>'Data in Graph form'!$C$42:$N$42</c:f>
              <c:numCache>
                <c:formatCode>0</c:formatCode>
                <c:ptCount val="12"/>
                <c:pt idx="0">
                  <c:v>102.85714285714285</c:v>
                </c:pt>
                <c:pt idx="1">
                  <c:v>145.94594594594594</c:v>
                </c:pt>
                <c:pt idx="2">
                  <c:v>159.45945945945945</c:v>
                </c:pt>
                <c:pt idx="3">
                  <c:v>97.142857142857139</c:v>
                </c:pt>
                <c:pt idx="4">
                  <c:v>127.02702702702702</c:v>
                </c:pt>
                <c:pt idx="5">
                  <c:v>145.94594594594594</c:v>
                </c:pt>
                <c:pt idx="6">
                  <c:v>103.03030303030303</c:v>
                </c:pt>
                <c:pt idx="7">
                  <c:v>137.14285714285714</c:v>
                </c:pt>
                <c:pt idx="8">
                  <c:v>152.77777777777777</c:v>
                </c:pt>
                <c:pt idx="9">
                  <c:v>105.88235294117648</c:v>
                </c:pt>
                <c:pt idx="10">
                  <c:v>147.22222222222223</c:v>
                </c:pt>
                <c:pt idx="11">
                  <c:v>167.56756756756758</c:v>
                </c:pt>
              </c:numCache>
            </c:numRef>
          </c:val>
          <c:extLst>
            <c:ext xmlns:c16="http://schemas.microsoft.com/office/drawing/2014/chart" uri="{C3380CC4-5D6E-409C-BE32-E72D297353CC}">
              <c16:uniqueId val="{00000004-2257-4BAE-9882-C910C1D2AFF3}"/>
            </c:ext>
          </c:extLst>
        </c:ser>
        <c:ser>
          <c:idx val="5"/>
          <c:order val="5"/>
          <c:tx>
            <c:strRef>
              <c:f>'Data in Graph form'!$B$43</c:f>
              <c:strCache>
                <c:ptCount val="1"/>
                <c:pt idx="0">
                  <c:v>Fall 2015</c:v>
                </c:pt>
              </c:strCache>
            </c:strRef>
          </c:tx>
          <c:invertIfNegative val="0"/>
          <c:cat>
            <c:multiLvlStrRef>
              <c:f>'Data in Graph form'!$C$36:$N$37</c:f>
              <c:multiLvlStrCache>
                <c:ptCount val="12"/>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lvl>
                <c:lvl>
                  <c:pt idx="0">
                    <c:v>Total Farm Loans</c:v>
                  </c:pt>
                  <c:pt idx="3">
                    <c:v>Farm Real Estate</c:v>
                  </c:pt>
                  <c:pt idx="6">
                    <c:v>Intermediate</c:v>
                  </c:pt>
                  <c:pt idx="9">
                    <c:v>Operating</c:v>
                  </c:pt>
                </c:lvl>
              </c:multiLvlStrCache>
            </c:multiLvlStrRef>
          </c:cat>
          <c:val>
            <c:numRef>
              <c:f>'Data in Graph form'!$C$43:$N$43</c:f>
              <c:numCache>
                <c:formatCode>0</c:formatCode>
                <c:ptCount val="12"/>
                <c:pt idx="0">
                  <c:v>112.12121212121211</c:v>
                </c:pt>
                <c:pt idx="1">
                  <c:v>150</c:v>
                </c:pt>
                <c:pt idx="2">
                  <c:v>157.14285714285714</c:v>
                </c:pt>
                <c:pt idx="3">
                  <c:v>105.71428571428572</c:v>
                </c:pt>
                <c:pt idx="4">
                  <c:v>134.28571428571431</c:v>
                </c:pt>
                <c:pt idx="5">
                  <c:v>155.55555555555557</c:v>
                </c:pt>
                <c:pt idx="6">
                  <c:v>112.12121212121211</c:v>
                </c:pt>
                <c:pt idx="7">
                  <c:v>144.11764705882354</c:v>
                </c:pt>
                <c:pt idx="8">
                  <c:v>160</c:v>
                </c:pt>
                <c:pt idx="9">
                  <c:v>115.625</c:v>
                </c:pt>
                <c:pt idx="10">
                  <c:v>167.64705882352942</c:v>
                </c:pt>
                <c:pt idx="11">
                  <c:v>165.71428571428569</c:v>
                </c:pt>
              </c:numCache>
            </c:numRef>
          </c:val>
          <c:extLst>
            <c:ext xmlns:c16="http://schemas.microsoft.com/office/drawing/2014/chart" uri="{C3380CC4-5D6E-409C-BE32-E72D297353CC}">
              <c16:uniqueId val="{00000005-2257-4BAE-9882-C910C1D2AFF3}"/>
            </c:ext>
          </c:extLst>
        </c:ser>
        <c:ser>
          <c:idx val="6"/>
          <c:order val="6"/>
          <c:tx>
            <c:strRef>
              <c:f>'Data in Graph form'!$B$44</c:f>
              <c:strCache>
                <c:ptCount val="1"/>
                <c:pt idx="0">
                  <c:v>Spring 2016</c:v>
                </c:pt>
              </c:strCache>
            </c:strRef>
          </c:tx>
          <c:invertIfNegative val="0"/>
          <c:cat>
            <c:multiLvlStrRef>
              <c:f>'Data in Graph form'!$C$36:$N$37</c:f>
              <c:multiLvlStrCache>
                <c:ptCount val="12"/>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lvl>
                <c:lvl>
                  <c:pt idx="0">
                    <c:v>Total Farm Loans</c:v>
                  </c:pt>
                  <c:pt idx="3">
                    <c:v>Farm Real Estate</c:v>
                  </c:pt>
                  <c:pt idx="6">
                    <c:v>Intermediate</c:v>
                  </c:pt>
                  <c:pt idx="9">
                    <c:v>Operating</c:v>
                  </c:pt>
                </c:lvl>
              </c:multiLvlStrCache>
            </c:multiLvlStrRef>
          </c:cat>
          <c:val>
            <c:numRef>
              <c:f>'Data in Graph form'!$C$44:$N$44</c:f>
              <c:numCache>
                <c:formatCode>0</c:formatCode>
                <c:ptCount val="12"/>
                <c:pt idx="0">
                  <c:v>143.33333333333334</c:v>
                </c:pt>
                <c:pt idx="1">
                  <c:v>176.66666666666666</c:v>
                </c:pt>
                <c:pt idx="2">
                  <c:v>153.33333333333331</c:v>
                </c:pt>
                <c:pt idx="3">
                  <c:v>125.80645161290323</c:v>
                </c:pt>
                <c:pt idx="4">
                  <c:v>148.38709677419354</c:v>
                </c:pt>
                <c:pt idx="5">
                  <c:v>135.48387096774195</c:v>
                </c:pt>
                <c:pt idx="6">
                  <c:v>133.33333333333331</c:v>
                </c:pt>
                <c:pt idx="7">
                  <c:v>160</c:v>
                </c:pt>
                <c:pt idx="8">
                  <c:v>153.33333333333331</c:v>
                </c:pt>
                <c:pt idx="9">
                  <c:v>153.33333333333331</c:v>
                </c:pt>
                <c:pt idx="10">
                  <c:v>186.66666666666666</c:v>
                </c:pt>
                <c:pt idx="11">
                  <c:v>153.33333333333331</c:v>
                </c:pt>
              </c:numCache>
            </c:numRef>
          </c:val>
          <c:extLst>
            <c:ext xmlns:c16="http://schemas.microsoft.com/office/drawing/2014/chart" uri="{C3380CC4-5D6E-409C-BE32-E72D297353CC}">
              <c16:uniqueId val="{00000006-2257-4BAE-9882-C910C1D2AFF3}"/>
            </c:ext>
          </c:extLst>
        </c:ser>
        <c:dLbls>
          <c:showLegendKey val="0"/>
          <c:showVal val="0"/>
          <c:showCatName val="0"/>
          <c:showSerName val="0"/>
          <c:showPercent val="0"/>
          <c:showBubbleSize val="0"/>
        </c:dLbls>
        <c:gapWidth val="150"/>
        <c:axId val="416156928"/>
        <c:axId val="416157320"/>
      </c:barChart>
      <c:catAx>
        <c:axId val="416156928"/>
        <c:scaling>
          <c:orientation val="minMax"/>
        </c:scaling>
        <c:delete val="0"/>
        <c:axPos val="b"/>
        <c:numFmt formatCode="General" sourceLinked="0"/>
        <c:majorTickMark val="out"/>
        <c:minorTickMark val="none"/>
        <c:tickLblPos val="low"/>
        <c:crossAx val="416157320"/>
        <c:crossesAt val="100"/>
        <c:auto val="1"/>
        <c:lblAlgn val="ctr"/>
        <c:lblOffset val="100"/>
        <c:noMultiLvlLbl val="0"/>
      </c:catAx>
      <c:valAx>
        <c:axId val="416157320"/>
        <c:scaling>
          <c:orientation val="minMax"/>
        </c:scaling>
        <c:delete val="0"/>
        <c:axPos val="l"/>
        <c:title>
          <c:tx>
            <c:rich>
              <a:bodyPr/>
              <a:lstStyle/>
              <a:p>
                <a:pPr>
                  <a:defRPr/>
                </a:pPr>
                <a:r>
                  <a:rPr lang="en-US"/>
                  <a:t>Diffusion Index</a:t>
                </a:r>
              </a:p>
            </c:rich>
          </c:tx>
          <c:overlay val="0"/>
        </c:title>
        <c:numFmt formatCode="0" sourceLinked="1"/>
        <c:majorTickMark val="out"/>
        <c:minorTickMark val="none"/>
        <c:tickLblPos val="nextTo"/>
        <c:crossAx val="416156928"/>
        <c:crosses val="autoZero"/>
        <c:crossBetween val="between"/>
      </c:valAx>
    </c:plotArea>
    <c:legend>
      <c:legendPos val="b"/>
      <c:layout>
        <c:manualLayout>
          <c:xMode val="edge"/>
          <c:yMode val="edge"/>
          <c:x val="0.13547008547008546"/>
          <c:y val="0.70529177448225333"/>
          <c:w val="0.82094017094017091"/>
          <c:h val="5.324768370384797E-2"/>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51894474729121"/>
          <c:y val="3.2692931934744908E-2"/>
          <c:w val="0.86497678174843529"/>
          <c:h val="0.6279706092392161"/>
        </c:manualLayout>
      </c:layout>
      <c:barChart>
        <c:barDir val="col"/>
        <c:grouping val="clustered"/>
        <c:varyColors val="0"/>
        <c:ser>
          <c:idx val="0"/>
          <c:order val="0"/>
          <c:tx>
            <c:strRef>
              <c:f>'Data in Graph form'!$B$49</c:f>
              <c:strCache>
                <c:ptCount val="1"/>
                <c:pt idx="0">
                  <c:v>Spring 2013</c:v>
                </c:pt>
              </c:strCache>
            </c:strRef>
          </c:tx>
          <c:invertIfNegative val="0"/>
          <c:cat>
            <c:multiLvlStrRef>
              <c:f>'Data in Graph form'!$C$47:$Q$48</c:f>
              <c:multiLvlStrCache>
                <c:ptCount val="15"/>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pt idx="12">
                    <c:v>Past 3 Months</c:v>
                  </c:pt>
                  <c:pt idx="13">
                    <c:v>Short Term (1 Year)</c:v>
                  </c:pt>
                  <c:pt idx="14">
                    <c:v>Long Term (2-5 Years)</c:v>
                  </c:pt>
                </c:lvl>
                <c:lvl>
                  <c:pt idx="0">
                    <c:v>Corn &amp; Soybeans</c:v>
                  </c:pt>
                  <c:pt idx="3">
                    <c:v>Wheat</c:v>
                  </c:pt>
                  <c:pt idx="6">
                    <c:v>Cotton</c:v>
                  </c:pt>
                  <c:pt idx="9">
                    <c:v>Fruits/Vegetables</c:v>
                  </c:pt>
                  <c:pt idx="12">
                    <c:v>Nurseries</c:v>
                  </c:pt>
                </c:lvl>
              </c:multiLvlStrCache>
            </c:multiLvlStrRef>
          </c:cat>
          <c:val>
            <c:numRef>
              <c:f>'Data in Graph form'!$C$49:$Q$49</c:f>
              <c:numCache>
                <c:formatCode>General</c:formatCode>
                <c:ptCount val="15"/>
                <c:pt idx="0">
                  <c:v>79.032258064516128</c:v>
                </c:pt>
                <c:pt idx="1">
                  <c:v>98.360655737704917</c:v>
                </c:pt>
                <c:pt idx="2">
                  <c:v>121.31147540983606</c:v>
                </c:pt>
                <c:pt idx="3">
                  <c:v>86.79245283018868</c:v>
                </c:pt>
                <c:pt idx="4">
                  <c:v>92.592592592592595</c:v>
                </c:pt>
                <c:pt idx="5">
                  <c:v>109.43396226415094</c:v>
                </c:pt>
                <c:pt idx="6">
                  <c:v>100</c:v>
                </c:pt>
                <c:pt idx="7">
                  <c:v>100</c:v>
                </c:pt>
                <c:pt idx="8">
                  <c:v>100</c:v>
                </c:pt>
                <c:pt idx="9">
                  <c:v>97.61904761904762</c:v>
                </c:pt>
                <c:pt idx="10">
                  <c:v>95.238095238095227</c:v>
                </c:pt>
                <c:pt idx="11">
                  <c:v>100</c:v>
                </c:pt>
                <c:pt idx="12">
                  <c:v>106.9767441860465</c:v>
                </c:pt>
                <c:pt idx="13">
                  <c:v>97.560975609756099</c:v>
                </c:pt>
                <c:pt idx="14">
                  <c:v>87.179487179487182</c:v>
                </c:pt>
              </c:numCache>
            </c:numRef>
          </c:val>
          <c:extLst>
            <c:ext xmlns:c16="http://schemas.microsoft.com/office/drawing/2014/chart" uri="{C3380CC4-5D6E-409C-BE32-E72D297353CC}">
              <c16:uniqueId val="{00000000-C78E-46BB-8634-324DF9797E28}"/>
            </c:ext>
          </c:extLst>
        </c:ser>
        <c:ser>
          <c:idx val="1"/>
          <c:order val="1"/>
          <c:tx>
            <c:strRef>
              <c:f>'Data in Graph form'!$B$50</c:f>
              <c:strCache>
                <c:ptCount val="1"/>
                <c:pt idx="0">
                  <c:v>Fall 2013</c:v>
                </c:pt>
              </c:strCache>
            </c:strRef>
          </c:tx>
          <c:invertIfNegative val="0"/>
          <c:cat>
            <c:multiLvlStrRef>
              <c:f>'Data in Graph form'!$C$47:$Q$48</c:f>
              <c:multiLvlStrCache>
                <c:ptCount val="15"/>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pt idx="12">
                    <c:v>Past 3 Months</c:v>
                  </c:pt>
                  <c:pt idx="13">
                    <c:v>Short Term (1 Year)</c:v>
                  </c:pt>
                  <c:pt idx="14">
                    <c:v>Long Term (2-5 Years)</c:v>
                  </c:pt>
                </c:lvl>
                <c:lvl>
                  <c:pt idx="0">
                    <c:v>Corn &amp; Soybeans</c:v>
                  </c:pt>
                  <c:pt idx="3">
                    <c:v>Wheat</c:v>
                  </c:pt>
                  <c:pt idx="6">
                    <c:v>Cotton</c:v>
                  </c:pt>
                  <c:pt idx="9">
                    <c:v>Fruits/Vegetables</c:v>
                  </c:pt>
                  <c:pt idx="12">
                    <c:v>Nurseries</c:v>
                  </c:pt>
                </c:lvl>
              </c:multiLvlStrCache>
            </c:multiLvlStrRef>
          </c:cat>
          <c:val>
            <c:numRef>
              <c:f>'Data in Graph form'!$C$50:$Q$50</c:f>
              <c:numCache>
                <c:formatCode>General</c:formatCode>
                <c:ptCount val="15"/>
                <c:pt idx="0">
                  <c:v>80.392156862745097</c:v>
                </c:pt>
                <c:pt idx="1">
                  <c:v>119.23076923076923</c:v>
                </c:pt>
                <c:pt idx="2">
                  <c:v>138.88888888888889</c:v>
                </c:pt>
                <c:pt idx="3">
                  <c:v>85.714285714285722</c:v>
                </c:pt>
                <c:pt idx="4">
                  <c:v>102.22222222222221</c:v>
                </c:pt>
                <c:pt idx="5">
                  <c:v>121.73913043478262</c:v>
                </c:pt>
                <c:pt idx="6">
                  <c:v>96.666666666666671</c:v>
                </c:pt>
                <c:pt idx="7">
                  <c:v>100</c:v>
                </c:pt>
                <c:pt idx="8">
                  <c:v>120</c:v>
                </c:pt>
                <c:pt idx="9">
                  <c:v>96.774193548387103</c:v>
                </c:pt>
                <c:pt idx="10">
                  <c:v>90.909090909090907</c:v>
                </c:pt>
                <c:pt idx="11">
                  <c:v>102.85714285714285</c:v>
                </c:pt>
                <c:pt idx="12">
                  <c:v>88.888888888888886</c:v>
                </c:pt>
                <c:pt idx="13">
                  <c:v>93.103448275862064</c:v>
                </c:pt>
                <c:pt idx="14">
                  <c:v>96.774193548387103</c:v>
                </c:pt>
              </c:numCache>
            </c:numRef>
          </c:val>
          <c:extLst>
            <c:ext xmlns:c16="http://schemas.microsoft.com/office/drawing/2014/chart" uri="{C3380CC4-5D6E-409C-BE32-E72D297353CC}">
              <c16:uniqueId val="{00000001-C78E-46BB-8634-324DF9797E28}"/>
            </c:ext>
          </c:extLst>
        </c:ser>
        <c:ser>
          <c:idx val="2"/>
          <c:order val="2"/>
          <c:tx>
            <c:strRef>
              <c:f>'Data in Graph form'!$B$51</c:f>
              <c:strCache>
                <c:ptCount val="1"/>
                <c:pt idx="0">
                  <c:v>Spring 2014</c:v>
                </c:pt>
              </c:strCache>
            </c:strRef>
          </c:tx>
          <c:invertIfNegative val="0"/>
          <c:cat>
            <c:multiLvlStrRef>
              <c:f>'Data in Graph form'!$C$47:$Q$48</c:f>
              <c:multiLvlStrCache>
                <c:ptCount val="15"/>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pt idx="12">
                    <c:v>Past 3 Months</c:v>
                  </c:pt>
                  <c:pt idx="13">
                    <c:v>Short Term (1 Year)</c:v>
                  </c:pt>
                  <c:pt idx="14">
                    <c:v>Long Term (2-5 Years)</c:v>
                  </c:pt>
                </c:lvl>
                <c:lvl>
                  <c:pt idx="0">
                    <c:v>Corn &amp; Soybeans</c:v>
                  </c:pt>
                  <c:pt idx="3">
                    <c:v>Wheat</c:v>
                  </c:pt>
                  <c:pt idx="6">
                    <c:v>Cotton</c:v>
                  </c:pt>
                  <c:pt idx="9">
                    <c:v>Fruits/Vegetables</c:v>
                  </c:pt>
                  <c:pt idx="12">
                    <c:v>Nurseries</c:v>
                  </c:pt>
                </c:lvl>
              </c:multiLvlStrCache>
            </c:multiLvlStrRef>
          </c:cat>
          <c:val>
            <c:numRef>
              <c:f>'Data in Graph form'!$C$51:$Q$51</c:f>
              <c:numCache>
                <c:formatCode>0</c:formatCode>
                <c:ptCount val="15"/>
                <c:pt idx="0">
                  <c:v>97.916666666666657</c:v>
                </c:pt>
                <c:pt idx="1">
                  <c:v>134</c:v>
                </c:pt>
                <c:pt idx="2">
                  <c:v>164.70588235294116</c:v>
                </c:pt>
                <c:pt idx="3">
                  <c:v>95.652173913043484</c:v>
                </c:pt>
                <c:pt idx="4">
                  <c:v>128.57142857142856</c:v>
                </c:pt>
                <c:pt idx="5">
                  <c:v>154.34782608695653</c:v>
                </c:pt>
                <c:pt idx="6">
                  <c:v>96.296296296296305</c:v>
                </c:pt>
                <c:pt idx="7">
                  <c:v>103.57142857142858</c:v>
                </c:pt>
                <c:pt idx="8">
                  <c:v>122.22222222222223</c:v>
                </c:pt>
                <c:pt idx="9">
                  <c:v>91.666666666666657</c:v>
                </c:pt>
                <c:pt idx="10">
                  <c:v>100</c:v>
                </c:pt>
                <c:pt idx="11">
                  <c:v>104</c:v>
                </c:pt>
                <c:pt idx="12">
                  <c:v>100</c:v>
                </c:pt>
                <c:pt idx="13">
                  <c:v>104.34782608695652</c:v>
                </c:pt>
                <c:pt idx="14">
                  <c:v>95.454545454545453</c:v>
                </c:pt>
              </c:numCache>
            </c:numRef>
          </c:val>
          <c:extLst>
            <c:ext xmlns:c16="http://schemas.microsoft.com/office/drawing/2014/chart" uri="{C3380CC4-5D6E-409C-BE32-E72D297353CC}">
              <c16:uniqueId val="{00000002-C78E-46BB-8634-324DF9797E28}"/>
            </c:ext>
          </c:extLst>
        </c:ser>
        <c:ser>
          <c:idx val="3"/>
          <c:order val="3"/>
          <c:tx>
            <c:strRef>
              <c:f>'Data in Graph form'!$B$52</c:f>
              <c:strCache>
                <c:ptCount val="1"/>
                <c:pt idx="0">
                  <c:v>Fall 2014</c:v>
                </c:pt>
              </c:strCache>
            </c:strRef>
          </c:tx>
          <c:invertIfNegative val="0"/>
          <c:cat>
            <c:multiLvlStrRef>
              <c:f>'Data in Graph form'!$C$47:$Q$48</c:f>
              <c:multiLvlStrCache>
                <c:ptCount val="15"/>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pt idx="12">
                    <c:v>Past 3 Months</c:v>
                  </c:pt>
                  <c:pt idx="13">
                    <c:v>Short Term (1 Year)</c:v>
                  </c:pt>
                  <c:pt idx="14">
                    <c:v>Long Term (2-5 Years)</c:v>
                  </c:pt>
                </c:lvl>
                <c:lvl>
                  <c:pt idx="0">
                    <c:v>Corn &amp; Soybeans</c:v>
                  </c:pt>
                  <c:pt idx="3">
                    <c:v>Wheat</c:v>
                  </c:pt>
                  <c:pt idx="6">
                    <c:v>Cotton</c:v>
                  </c:pt>
                  <c:pt idx="9">
                    <c:v>Fruits/Vegetables</c:v>
                  </c:pt>
                  <c:pt idx="12">
                    <c:v>Nurseries</c:v>
                  </c:pt>
                </c:lvl>
              </c:multiLvlStrCache>
            </c:multiLvlStrRef>
          </c:cat>
          <c:val>
            <c:numRef>
              <c:f>'Data in Graph form'!$C$52:$Q$52</c:f>
              <c:numCache>
                <c:formatCode>0</c:formatCode>
                <c:ptCount val="15"/>
                <c:pt idx="0">
                  <c:v>92.307692307692307</c:v>
                </c:pt>
                <c:pt idx="1">
                  <c:v>165.85365853658539</c:v>
                </c:pt>
                <c:pt idx="2">
                  <c:v>156.09756097560975</c:v>
                </c:pt>
                <c:pt idx="3">
                  <c:v>84.848484848484844</c:v>
                </c:pt>
                <c:pt idx="4">
                  <c:v>144.11764705882354</c:v>
                </c:pt>
                <c:pt idx="5">
                  <c:v>139.39393939393941</c:v>
                </c:pt>
                <c:pt idx="6">
                  <c:v>95.454545454545496</c:v>
                </c:pt>
                <c:pt idx="7">
                  <c:v>113.04347826086956</c:v>
                </c:pt>
                <c:pt idx="8">
                  <c:v>135</c:v>
                </c:pt>
                <c:pt idx="9">
                  <c:v>89.473684210526315</c:v>
                </c:pt>
                <c:pt idx="10">
                  <c:v>108.33333333333333</c:v>
                </c:pt>
                <c:pt idx="11">
                  <c:v>113.63636363636363</c:v>
                </c:pt>
                <c:pt idx="12">
                  <c:v>88.235294117647058</c:v>
                </c:pt>
                <c:pt idx="13">
                  <c:v>80.952380952380949</c:v>
                </c:pt>
                <c:pt idx="14">
                  <c:v>84.210526315789465</c:v>
                </c:pt>
              </c:numCache>
            </c:numRef>
          </c:val>
          <c:extLst>
            <c:ext xmlns:c16="http://schemas.microsoft.com/office/drawing/2014/chart" uri="{C3380CC4-5D6E-409C-BE32-E72D297353CC}">
              <c16:uniqueId val="{00000003-C78E-46BB-8634-324DF9797E28}"/>
            </c:ext>
          </c:extLst>
        </c:ser>
        <c:ser>
          <c:idx val="4"/>
          <c:order val="4"/>
          <c:tx>
            <c:strRef>
              <c:f>'Data in Graph form'!$B$53</c:f>
              <c:strCache>
                <c:ptCount val="1"/>
                <c:pt idx="0">
                  <c:v>Spring 2015</c:v>
                </c:pt>
              </c:strCache>
            </c:strRef>
          </c:tx>
          <c:invertIfNegative val="0"/>
          <c:cat>
            <c:multiLvlStrRef>
              <c:f>'Data in Graph form'!$C$47:$Q$48</c:f>
              <c:multiLvlStrCache>
                <c:ptCount val="15"/>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pt idx="12">
                    <c:v>Past 3 Months</c:v>
                  </c:pt>
                  <c:pt idx="13">
                    <c:v>Short Term (1 Year)</c:v>
                  </c:pt>
                  <c:pt idx="14">
                    <c:v>Long Term (2-5 Years)</c:v>
                  </c:pt>
                </c:lvl>
                <c:lvl>
                  <c:pt idx="0">
                    <c:v>Corn &amp; Soybeans</c:v>
                  </c:pt>
                  <c:pt idx="3">
                    <c:v>Wheat</c:v>
                  </c:pt>
                  <c:pt idx="6">
                    <c:v>Cotton</c:v>
                  </c:pt>
                  <c:pt idx="9">
                    <c:v>Fruits/Vegetables</c:v>
                  </c:pt>
                  <c:pt idx="12">
                    <c:v>Nurseries</c:v>
                  </c:pt>
                </c:lvl>
              </c:multiLvlStrCache>
            </c:multiLvlStrRef>
          </c:cat>
          <c:val>
            <c:numRef>
              <c:f>'Data in Graph form'!$C$53:$Q$53</c:f>
              <c:numCache>
                <c:formatCode>0</c:formatCode>
                <c:ptCount val="15"/>
                <c:pt idx="0">
                  <c:v>119.44444444444444</c:v>
                </c:pt>
                <c:pt idx="1">
                  <c:v>159.45945945945945</c:v>
                </c:pt>
                <c:pt idx="2">
                  <c:v>154.05405405405406</c:v>
                </c:pt>
                <c:pt idx="3">
                  <c:v>106.25</c:v>
                </c:pt>
                <c:pt idx="4">
                  <c:v>151.61290322580646</c:v>
                </c:pt>
                <c:pt idx="5">
                  <c:v>138.70967741935485</c:v>
                </c:pt>
                <c:pt idx="6">
                  <c:v>113.63636363636363</c:v>
                </c:pt>
                <c:pt idx="7">
                  <c:v>122.72727272727273</c:v>
                </c:pt>
                <c:pt idx="8">
                  <c:v>117.39130434782608</c:v>
                </c:pt>
                <c:pt idx="9">
                  <c:v>100</c:v>
                </c:pt>
                <c:pt idx="10">
                  <c:v>109.52380952380953</c:v>
                </c:pt>
                <c:pt idx="11">
                  <c:v>113.04347826086956</c:v>
                </c:pt>
                <c:pt idx="12">
                  <c:v>111.76470588235294</c:v>
                </c:pt>
                <c:pt idx="13">
                  <c:v>100</c:v>
                </c:pt>
                <c:pt idx="14">
                  <c:v>94.736842105263165</c:v>
                </c:pt>
              </c:numCache>
            </c:numRef>
          </c:val>
          <c:extLst>
            <c:ext xmlns:c16="http://schemas.microsoft.com/office/drawing/2014/chart" uri="{C3380CC4-5D6E-409C-BE32-E72D297353CC}">
              <c16:uniqueId val="{00000004-C78E-46BB-8634-324DF9797E28}"/>
            </c:ext>
          </c:extLst>
        </c:ser>
        <c:ser>
          <c:idx val="5"/>
          <c:order val="5"/>
          <c:tx>
            <c:strRef>
              <c:f>'Data in Graph form'!$B$54</c:f>
              <c:strCache>
                <c:ptCount val="1"/>
                <c:pt idx="0">
                  <c:v>Fall 2015</c:v>
                </c:pt>
              </c:strCache>
            </c:strRef>
          </c:tx>
          <c:invertIfNegative val="0"/>
          <c:cat>
            <c:multiLvlStrRef>
              <c:f>'Data in Graph form'!$C$47:$Q$48</c:f>
              <c:multiLvlStrCache>
                <c:ptCount val="15"/>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pt idx="12">
                    <c:v>Past 3 Months</c:v>
                  </c:pt>
                  <c:pt idx="13">
                    <c:v>Short Term (1 Year)</c:v>
                  </c:pt>
                  <c:pt idx="14">
                    <c:v>Long Term (2-5 Years)</c:v>
                  </c:pt>
                </c:lvl>
                <c:lvl>
                  <c:pt idx="0">
                    <c:v>Corn &amp; Soybeans</c:v>
                  </c:pt>
                  <c:pt idx="3">
                    <c:v>Wheat</c:v>
                  </c:pt>
                  <c:pt idx="6">
                    <c:v>Cotton</c:v>
                  </c:pt>
                  <c:pt idx="9">
                    <c:v>Fruits/Vegetables</c:v>
                  </c:pt>
                  <c:pt idx="12">
                    <c:v>Nurseries</c:v>
                  </c:pt>
                </c:lvl>
              </c:multiLvlStrCache>
            </c:multiLvlStrRef>
          </c:cat>
          <c:val>
            <c:numRef>
              <c:f>'Data in Graph form'!$C$54:$Q$54</c:f>
              <c:numCache>
                <c:formatCode>0</c:formatCode>
                <c:ptCount val="15"/>
                <c:pt idx="0">
                  <c:v>111.76470588235294</c:v>
                </c:pt>
                <c:pt idx="1">
                  <c:v>167.56756756756758</c:v>
                </c:pt>
                <c:pt idx="2">
                  <c:v>167.56756756756758</c:v>
                </c:pt>
                <c:pt idx="3">
                  <c:v>103.7037037037037</c:v>
                </c:pt>
                <c:pt idx="4">
                  <c:v>155.17241379310346</c:v>
                </c:pt>
                <c:pt idx="5">
                  <c:v>151.72413793103448</c:v>
                </c:pt>
                <c:pt idx="6">
                  <c:v>107.69230769230769</c:v>
                </c:pt>
                <c:pt idx="7">
                  <c:v>125</c:v>
                </c:pt>
                <c:pt idx="8">
                  <c:v>137.5</c:v>
                </c:pt>
                <c:pt idx="9">
                  <c:v>100</c:v>
                </c:pt>
                <c:pt idx="10">
                  <c:v>112.5</c:v>
                </c:pt>
                <c:pt idx="11">
                  <c:v>125</c:v>
                </c:pt>
                <c:pt idx="12">
                  <c:v>100</c:v>
                </c:pt>
                <c:pt idx="13">
                  <c:v>113.33333333333333</c:v>
                </c:pt>
                <c:pt idx="14">
                  <c:v>113.33333333333333</c:v>
                </c:pt>
              </c:numCache>
            </c:numRef>
          </c:val>
          <c:extLst>
            <c:ext xmlns:c16="http://schemas.microsoft.com/office/drawing/2014/chart" uri="{C3380CC4-5D6E-409C-BE32-E72D297353CC}">
              <c16:uniqueId val="{00000005-C78E-46BB-8634-324DF9797E28}"/>
            </c:ext>
          </c:extLst>
        </c:ser>
        <c:ser>
          <c:idx val="6"/>
          <c:order val="6"/>
          <c:tx>
            <c:strRef>
              <c:f>'Data in Graph form'!$B$55</c:f>
              <c:strCache>
                <c:ptCount val="1"/>
                <c:pt idx="0">
                  <c:v>Spring 2016</c:v>
                </c:pt>
              </c:strCache>
            </c:strRef>
          </c:tx>
          <c:invertIfNegative val="0"/>
          <c:cat>
            <c:multiLvlStrRef>
              <c:f>'Data in Graph form'!$C$47:$Q$48</c:f>
              <c:multiLvlStrCache>
                <c:ptCount val="15"/>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pt idx="12">
                    <c:v>Past 3 Months</c:v>
                  </c:pt>
                  <c:pt idx="13">
                    <c:v>Short Term (1 Year)</c:v>
                  </c:pt>
                  <c:pt idx="14">
                    <c:v>Long Term (2-5 Years)</c:v>
                  </c:pt>
                </c:lvl>
                <c:lvl>
                  <c:pt idx="0">
                    <c:v>Corn &amp; Soybeans</c:v>
                  </c:pt>
                  <c:pt idx="3">
                    <c:v>Wheat</c:v>
                  </c:pt>
                  <c:pt idx="6">
                    <c:v>Cotton</c:v>
                  </c:pt>
                  <c:pt idx="9">
                    <c:v>Fruits/Vegetables</c:v>
                  </c:pt>
                  <c:pt idx="12">
                    <c:v>Nurseries</c:v>
                  </c:pt>
                </c:lvl>
              </c:multiLvlStrCache>
            </c:multiLvlStrRef>
          </c:cat>
          <c:val>
            <c:numRef>
              <c:f>'Data in Graph form'!$C$55:$Q$55</c:f>
              <c:numCache>
                <c:formatCode>0</c:formatCode>
                <c:ptCount val="15"/>
                <c:pt idx="0">
                  <c:v>146.66666666666669</c:v>
                </c:pt>
                <c:pt idx="1">
                  <c:v>186.66666666666666</c:v>
                </c:pt>
                <c:pt idx="2">
                  <c:v>150</c:v>
                </c:pt>
                <c:pt idx="3">
                  <c:v>140</c:v>
                </c:pt>
                <c:pt idx="4">
                  <c:v>168.00000000000003</c:v>
                </c:pt>
                <c:pt idx="5">
                  <c:v>128</c:v>
                </c:pt>
                <c:pt idx="6">
                  <c:v>116.66666666666667</c:v>
                </c:pt>
                <c:pt idx="7">
                  <c:v>107.69230769230769</c:v>
                </c:pt>
                <c:pt idx="8">
                  <c:v>115.38461538461537</c:v>
                </c:pt>
                <c:pt idx="9">
                  <c:v>114.28571428571428</c:v>
                </c:pt>
                <c:pt idx="10">
                  <c:v>113.33333333333333</c:v>
                </c:pt>
                <c:pt idx="11">
                  <c:v>93.333333333333329</c:v>
                </c:pt>
                <c:pt idx="12">
                  <c:v>85.714285714285722</c:v>
                </c:pt>
                <c:pt idx="13">
                  <c:v>92.857142857142861</c:v>
                </c:pt>
                <c:pt idx="14">
                  <c:v>100</c:v>
                </c:pt>
              </c:numCache>
            </c:numRef>
          </c:val>
          <c:extLst>
            <c:ext xmlns:c16="http://schemas.microsoft.com/office/drawing/2014/chart" uri="{C3380CC4-5D6E-409C-BE32-E72D297353CC}">
              <c16:uniqueId val="{00000006-C78E-46BB-8634-324DF9797E28}"/>
            </c:ext>
          </c:extLst>
        </c:ser>
        <c:dLbls>
          <c:showLegendKey val="0"/>
          <c:showVal val="0"/>
          <c:showCatName val="0"/>
          <c:showSerName val="0"/>
          <c:showPercent val="0"/>
          <c:showBubbleSize val="0"/>
        </c:dLbls>
        <c:gapWidth val="150"/>
        <c:axId val="418302840"/>
        <c:axId val="418303232"/>
      </c:barChart>
      <c:catAx>
        <c:axId val="418302840"/>
        <c:scaling>
          <c:orientation val="minMax"/>
        </c:scaling>
        <c:delete val="0"/>
        <c:axPos val="b"/>
        <c:numFmt formatCode="General" sourceLinked="0"/>
        <c:majorTickMark val="out"/>
        <c:minorTickMark val="none"/>
        <c:tickLblPos val="low"/>
        <c:crossAx val="418303232"/>
        <c:crossesAt val="100"/>
        <c:auto val="1"/>
        <c:lblAlgn val="ctr"/>
        <c:lblOffset val="100"/>
        <c:noMultiLvlLbl val="0"/>
      </c:catAx>
      <c:valAx>
        <c:axId val="418303232"/>
        <c:scaling>
          <c:orientation val="minMax"/>
          <c:max val="200"/>
        </c:scaling>
        <c:delete val="0"/>
        <c:axPos val="l"/>
        <c:title>
          <c:tx>
            <c:rich>
              <a:bodyPr/>
              <a:lstStyle/>
              <a:p>
                <a:pPr>
                  <a:defRPr/>
                </a:pPr>
                <a:r>
                  <a:rPr lang="en-US"/>
                  <a:t>Diffusion Index</a:t>
                </a:r>
              </a:p>
            </c:rich>
          </c:tx>
          <c:overlay val="0"/>
        </c:title>
        <c:numFmt formatCode="General" sourceLinked="1"/>
        <c:majorTickMark val="out"/>
        <c:minorTickMark val="none"/>
        <c:tickLblPos val="nextTo"/>
        <c:crossAx val="418302840"/>
        <c:crosses val="autoZero"/>
        <c:crossBetween val="between"/>
      </c:valAx>
    </c:plotArea>
    <c:legend>
      <c:legendPos val="b"/>
      <c:layout>
        <c:manualLayout>
          <c:xMode val="edge"/>
          <c:yMode val="edge"/>
          <c:x val="0.13547008547008546"/>
          <c:y val="0.59339542583678806"/>
          <c:w val="0.82307692307692304"/>
          <c:h val="5.324768370384797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1894474729121"/>
          <c:y val="3.2692931934744908E-2"/>
          <c:w val="0.86497678174843529"/>
          <c:h val="0.62478181835044455"/>
        </c:manualLayout>
      </c:layout>
      <c:barChart>
        <c:barDir val="col"/>
        <c:grouping val="clustered"/>
        <c:varyColors val="0"/>
        <c:ser>
          <c:idx val="0"/>
          <c:order val="0"/>
          <c:tx>
            <c:strRef>
              <c:f>'Data in Graph form'!$B$49</c:f>
              <c:strCache>
                <c:ptCount val="1"/>
                <c:pt idx="0">
                  <c:v>Spring 2013</c:v>
                </c:pt>
              </c:strCache>
            </c:strRef>
          </c:tx>
          <c:invertIfNegative val="0"/>
          <c:cat>
            <c:multiLvlStrRef>
              <c:f>'Data in Graph form'!$R$47:$AF$48</c:f>
              <c:multiLvlStrCache>
                <c:ptCount val="15"/>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pt idx="12">
                    <c:v>Past 3 Months</c:v>
                  </c:pt>
                  <c:pt idx="13">
                    <c:v>Short Term (1 Year)</c:v>
                  </c:pt>
                  <c:pt idx="14">
                    <c:v>Long Term (2-5 Years)</c:v>
                  </c:pt>
                </c:lvl>
                <c:lvl>
                  <c:pt idx="0">
                    <c:v>Beef</c:v>
                  </c:pt>
                  <c:pt idx="3">
                    <c:v>Dairy</c:v>
                  </c:pt>
                  <c:pt idx="6">
                    <c:v>Hog</c:v>
                  </c:pt>
                  <c:pt idx="9">
                    <c:v>Poultry </c:v>
                  </c:pt>
                  <c:pt idx="12">
                    <c:v>Other</c:v>
                  </c:pt>
                </c:lvl>
              </c:multiLvlStrCache>
            </c:multiLvlStrRef>
          </c:cat>
          <c:val>
            <c:numRef>
              <c:f>'Data in Graph form'!$R$49:$AF$49</c:f>
              <c:numCache>
                <c:formatCode>General</c:formatCode>
                <c:ptCount val="15"/>
                <c:pt idx="0">
                  <c:v>93.103448275862064</c:v>
                </c:pt>
                <c:pt idx="1">
                  <c:v>108.62068965517241</c:v>
                </c:pt>
                <c:pt idx="2">
                  <c:v>112.5</c:v>
                </c:pt>
                <c:pt idx="3">
                  <c:v>100</c:v>
                </c:pt>
                <c:pt idx="4">
                  <c:v>112.5</c:v>
                </c:pt>
                <c:pt idx="5">
                  <c:v>110.86956521739131</c:v>
                </c:pt>
                <c:pt idx="6">
                  <c:v>100</c:v>
                </c:pt>
                <c:pt idx="7">
                  <c:v>104.16666666666667</c:v>
                </c:pt>
                <c:pt idx="8">
                  <c:v>104.25531914893618</c:v>
                </c:pt>
                <c:pt idx="9">
                  <c:v>107.14285714285714</c:v>
                </c:pt>
                <c:pt idx="10">
                  <c:v>104.8780487804878</c:v>
                </c:pt>
                <c:pt idx="11">
                  <c:v>105.26315789473684</c:v>
                </c:pt>
                <c:pt idx="12">
                  <c:v>97.674418604651152</c:v>
                </c:pt>
                <c:pt idx="13">
                  <c:v>88.095238095238088</c:v>
                </c:pt>
                <c:pt idx="14">
                  <c:v>97.560975609756099</c:v>
                </c:pt>
              </c:numCache>
            </c:numRef>
          </c:val>
          <c:extLst>
            <c:ext xmlns:c16="http://schemas.microsoft.com/office/drawing/2014/chart" uri="{C3380CC4-5D6E-409C-BE32-E72D297353CC}">
              <c16:uniqueId val="{00000000-A35B-48DE-9BE0-854445DDB6C9}"/>
            </c:ext>
          </c:extLst>
        </c:ser>
        <c:ser>
          <c:idx val="1"/>
          <c:order val="1"/>
          <c:tx>
            <c:strRef>
              <c:f>'Data in Graph form'!$B$50</c:f>
              <c:strCache>
                <c:ptCount val="1"/>
                <c:pt idx="0">
                  <c:v>Fall 2013</c:v>
                </c:pt>
              </c:strCache>
            </c:strRef>
          </c:tx>
          <c:invertIfNegative val="0"/>
          <c:cat>
            <c:multiLvlStrRef>
              <c:f>'Data in Graph form'!$R$47:$AF$48</c:f>
              <c:multiLvlStrCache>
                <c:ptCount val="15"/>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pt idx="12">
                    <c:v>Past 3 Months</c:v>
                  </c:pt>
                  <c:pt idx="13">
                    <c:v>Short Term (1 Year)</c:v>
                  </c:pt>
                  <c:pt idx="14">
                    <c:v>Long Term (2-5 Years)</c:v>
                  </c:pt>
                </c:lvl>
                <c:lvl>
                  <c:pt idx="0">
                    <c:v>Beef</c:v>
                  </c:pt>
                  <c:pt idx="3">
                    <c:v>Dairy</c:v>
                  </c:pt>
                  <c:pt idx="6">
                    <c:v>Hog</c:v>
                  </c:pt>
                  <c:pt idx="9">
                    <c:v>Poultry </c:v>
                  </c:pt>
                  <c:pt idx="12">
                    <c:v>Other</c:v>
                  </c:pt>
                </c:lvl>
              </c:multiLvlStrCache>
            </c:multiLvlStrRef>
          </c:cat>
          <c:val>
            <c:numRef>
              <c:f>'Data in Graph form'!$R$50:$AF$50</c:f>
              <c:numCache>
                <c:formatCode>General</c:formatCode>
                <c:ptCount val="15"/>
                <c:pt idx="0">
                  <c:v>86</c:v>
                </c:pt>
                <c:pt idx="1">
                  <c:v>94.117647058823522</c:v>
                </c:pt>
                <c:pt idx="2">
                  <c:v>117.30769230769231</c:v>
                </c:pt>
                <c:pt idx="3">
                  <c:v>97.560975609756099</c:v>
                </c:pt>
                <c:pt idx="4">
                  <c:v>106.9767441860465</c:v>
                </c:pt>
                <c:pt idx="5">
                  <c:v>118.18181818181819</c:v>
                </c:pt>
                <c:pt idx="6">
                  <c:v>94.444444444444443</c:v>
                </c:pt>
                <c:pt idx="7">
                  <c:v>102.63157894736842</c:v>
                </c:pt>
                <c:pt idx="8">
                  <c:v>112.82051282051282</c:v>
                </c:pt>
                <c:pt idx="9">
                  <c:v>89.65517241379311</c:v>
                </c:pt>
                <c:pt idx="10">
                  <c:v>100</c:v>
                </c:pt>
                <c:pt idx="11">
                  <c:v>103.125</c:v>
                </c:pt>
                <c:pt idx="12">
                  <c:v>103.44827586206897</c:v>
                </c:pt>
                <c:pt idx="13">
                  <c:v>103.125</c:v>
                </c:pt>
                <c:pt idx="14">
                  <c:v>111.42857142857143</c:v>
                </c:pt>
              </c:numCache>
            </c:numRef>
          </c:val>
          <c:extLst>
            <c:ext xmlns:c16="http://schemas.microsoft.com/office/drawing/2014/chart" uri="{C3380CC4-5D6E-409C-BE32-E72D297353CC}">
              <c16:uniqueId val="{00000001-A35B-48DE-9BE0-854445DDB6C9}"/>
            </c:ext>
          </c:extLst>
        </c:ser>
        <c:ser>
          <c:idx val="2"/>
          <c:order val="2"/>
          <c:tx>
            <c:strRef>
              <c:f>'Data in Graph form'!$B$51</c:f>
              <c:strCache>
                <c:ptCount val="1"/>
                <c:pt idx="0">
                  <c:v>Spring 2014</c:v>
                </c:pt>
              </c:strCache>
            </c:strRef>
          </c:tx>
          <c:invertIfNegative val="0"/>
          <c:cat>
            <c:multiLvlStrRef>
              <c:f>'Data in Graph form'!$R$47:$AF$48</c:f>
              <c:multiLvlStrCache>
                <c:ptCount val="15"/>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pt idx="12">
                    <c:v>Past 3 Months</c:v>
                  </c:pt>
                  <c:pt idx="13">
                    <c:v>Short Term (1 Year)</c:v>
                  </c:pt>
                  <c:pt idx="14">
                    <c:v>Long Term (2-5 Years)</c:v>
                  </c:pt>
                </c:lvl>
                <c:lvl>
                  <c:pt idx="0">
                    <c:v>Beef</c:v>
                  </c:pt>
                  <c:pt idx="3">
                    <c:v>Dairy</c:v>
                  </c:pt>
                  <c:pt idx="6">
                    <c:v>Hog</c:v>
                  </c:pt>
                  <c:pt idx="9">
                    <c:v>Poultry </c:v>
                  </c:pt>
                  <c:pt idx="12">
                    <c:v>Other</c:v>
                  </c:pt>
                </c:lvl>
              </c:multiLvlStrCache>
            </c:multiLvlStrRef>
          </c:cat>
          <c:val>
            <c:numRef>
              <c:f>'Data in Graph form'!$R$51:$AF$51</c:f>
              <c:numCache>
                <c:formatCode>0</c:formatCode>
                <c:ptCount val="15"/>
                <c:pt idx="0">
                  <c:v>85.416666666666657</c:v>
                </c:pt>
                <c:pt idx="1">
                  <c:v>86</c:v>
                </c:pt>
                <c:pt idx="2">
                  <c:v>110.00000000000001</c:v>
                </c:pt>
                <c:pt idx="3">
                  <c:v>78.94736842105263</c:v>
                </c:pt>
                <c:pt idx="4">
                  <c:v>84.615384615384599</c:v>
                </c:pt>
                <c:pt idx="5">
                  <c:v>110.25641025641026</c:v>
                </c:pt>
                <c:pt idx="6">
                  <c:v>93.103448275862064</c:v>
                </c:pt>
                <c:pt idx="7">
                  <c:v>96.666666666666671</c:v>
                </c:pt>
                <c:pt idx="8">
                  <c:v>116.12903225806453</c:v>
                </c:pt>
                <c:pt idx="9">
                  <c:v>84.615384615384613</c:v>
                </c:pt>
                <c:pt idx="10">
                  <c:v>96.428571428571431</c:v>
                </c:pt>
                <c:pt idx="11">
                  <c:v>107.69230769230769</c:v>
                </c:pt>
                <c:pt idx="12">
                  <c:v>83.870967741935488</c:v>
                </c:pt>
                <c:pt idx="13">
                  <c:v>102.94117647058823</c:v>
                </c:pt>
                <c:pt idx="14">
                  <c:v>106.66666666666667</c:v>
                </c:pt>
              </c:numCache>
            </c:numRef>
          </c:val>
          <c:extLst>
            <c:ext xmlns:c16="http://schemas.microsoft.com/office/drawing/2014/chart" uri="{C3380CC4-5D6E-409C-BE32-E72D297353CC}">
              <c16:uniqueId val="{00000002-A35B-48DE-9BE0-854445DDB6C9}"/>
            </c:ext>
          </c:extLst>
        </c:ser>
        <c:ser>
          <c:idx val="3"/>
          <c:order val="3"/>
          <c:tx>
            <c:strRef>
              <c:f>'Data in Graph form'!$B$52</c:f>
              <c:strCache>
                <c:ptCount val="1"/>
                <c:pt idx="0">
                  <c:v>Fall 2014</c:v>
                </c:pt>
              </c:strCache>
            </c:strRef>
          </c:tx>
          <c:invertIfNegative val="0"/>
          <c:cat>
            <c:multiLvlStrRef>
              <c:f>'Data in Graph form'!$R$47:$AF$48</c:f>
              <c:multiLvlStrCache>
                <c:ptCount val="15"/>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pt idx="12">
                    <c:v>Past 3 Months</c:v>
                  </c:pt>
                  <c:pt idx="13">
                    <c:v>Short Term (1 Year)</c:v>
                  </c:pt>
                  <c:pt idx="14">
                    <c:v>Long Term (2-5 Years)</c:v>
                  </c:pt>
                </c:lvl>
                <c:lvl>
                  <c:pt idx="0">
                    <c:v>Beef</c:v>
                  </c:pt>
                  <c:pt idx="3">
                    <c:v>Dairy</c:v>
                  </c:pt>
                  <c:pt idx="6">
                    <c:v>Hog</c:v>
                  </c:pt>
                  <c:pt idx="9">
                    <c:v>Poultry </c:v>
                  </c:pt>
                  <c:pt idx="12">
                    <c:v>Other</c:v>
                  </c:pt>
                </c:lvl>
              </c:multiLvlStrCache>
            </c:multiLvlStrRef>
          </c:cat>
          <c:val>
            <c:numRef>
              <c:f>'Data in Graph form'!$R$52:$AF$52</c:f>
              <c:numCache>
                <c:formatCode>0</c:formatCode>
                <c:ptCount val="15"/>
                <c:pt idx="0">
                  <c:v>70.27027027027026</c:v>
                </c:pt>
                <c:pt idx="1">
                  <c:v>73.68421052631578</c:v>
                </c:pt>
                <c:pt idx="2">
                  <c:v>100</c:v>
                </c:pt>
                <c:pt idx="3">
                  <c:v>76</c:v>
                </c:pt>
                <c:pt idx="4">
                  <c:v>85.714285714285722</c:v>
                </c:pt>
                <c:pt idx="5">
                  <c:v>111.11111111111111</c:v>
                </c:pt>
                <c:pt idx="6">
                  <c:v>77.272727272727266</c:v>
                </c:pt>
                <c:pt idx="7">
                  <c:v>92.307692307692307</c:v>
                </c:pt>
                <c:pt idx="8">
                  <c:v>115.99999999999999</c:v>
                </c:pt>
                <c:pt idx="9">
                  <c:v>62.5</c:v>
                </c:pt>
                <c:pt idx="10">
                  <c:v>85.714285714285722</c:v>
                </c:pt>
                <c:pt idx="11">
                  <c:v>111.76470588235294</c:v>
                </c:pt>
                <c:pt idx="12">
                  <c:v>94.736842105263165</c:v>
                </c:pt>
                <c:pt idx="13">
                  <c:v>108.33333333333333</c:v>
                </c:pt>
                <c:pt idx="14">
                  <c:v>114.99999999999999</c:v>
                </c:pt>
              </c:numCache>
            </c:numRef>
          </c:val>
          <c:extLst>
            <c:ext xmlns:c16="http://schemas.microsoft.com/office/drawing/2014/chart" uri="{C3380CC4-5D6E-409C-BE32-E72D297353CC}">
              <c16:uniqueId val="{00000003-A35B-48DE-9BE0-854445DDB6C9}"/>
            </c:ext>
          </c:extLst>
        </c:ser>
        <c:ser>
          <c:idx val="4"/>
          <c:order val="4"/>
          <c:tx>
            <c:strRef>
              <c:f>'Data in Graph form'!$B$53</c:f>
              <c:strCache>
                <c:ptCount val="1"/>
                <c:pt idx="0">
                  <c:v>Spring 2015</c:v>
                </c:pt>
              </c:strCache>
            </c:strRef>
          </c:tx>
          <c:invertIfNegative val="0"/>
          <c:cat>
            <c:multiLvlStrRef>
              <c:f>'Data in Graph form'!$R$47:$AF$48</c:f>
              <c:multiLvlStrCache>
                <c:ptCount val="15"/>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pt idx="12">
                    <c:v>Past 3 Months</c:v>
                  </c:pt>
                  <c:pt idx="13">
                    <c:v>Short Term (1 Year)</c:v>
                  </c:pt>
                  <c:pt idx="14">
                    <c:v>Long Term (2-5 Years)</c:v>
                  </c:pt>
                </c:lvl>
                <c:lvl>
                  <c:pt idx="0">
                    <c:v>Beef</c:v>
                  </c:pt>
                  <c:pt idx="3">
                    <c:v>Dairy</c:v>
                  </c:pt>
                  <c:pt idx="6">
                    <c:v>Hog</c:v>
                  </c:pt>
                  <c:pt idx="9">
                    <c:v>Poultry </c:v>
                  </c:pt>
                  <c:pt idx="12">
                    <c:v>Other</c:v>
                  </c:pt>
                </c:lvl>
              </c:multiLvlStrCache>
            </c:multiLvlStrRef>
          </c:cat>
          <c:val>
            <c:numRef>
              <c:f>'Data in Graph form'!$R$53:$AF$53</c:f>
              <c:numCache>
                <c:formatCode>0</c:formatCode>
                <c:ptCount val="15"/>
                <c:pt idx="0">
                  <c:v>81.25</c:v>
                </c:pt>
                <c:pt idx="1">
                  <c:v>94.117647058823522</c:v>
                </c:pt>
                <c:pt idx="2">
                  <c:v>131.25</c:v>
                </c:pt>
                <c:pt idx="3">
                  <c:v>89.285714285714292</c:v>
                </c:pt>
                <c:pt idx="4">
                  <c:v>118.5185185185185</c:v>
                </c:pt>
                <c:pt idx="5">
                  <c:v>127.58620689655173</c:v>
                </c:pt>
                <c:pt idx="6">
                  <c:v>95.454545454545453</c:v>
                </c:pt>
                <c:pt idx="7">
                  <c:v>100</c:v>
                </c:pt>
                <c:pt idx="8">
                  <c:v>120.83333333333333</c:v>
                </c:pt>
                <c:pt idx="9">
                  <c:v>90</c:v>
                </c:pt>
                <c:pt idx="10">
                  <c:v>105</c:v>
                </c:pt>
                <c:pt idx="11">
                  <c:v>100</c:v>
                </c:pt>
                <c:pt idx="12">
                  <c:v>100</c:v>
                </c:pt>
                <c:pt idx="13">
                  <c:v>100</c:v>
                </c:pt>
                <c:pt idx="14">
                  <c:v>100</c:v>
                </c:pt>
              </c:numCache>
            </c:numRef>
          </c:val>
          <c:extLst>
            <c:ext xmlns:c16="http://schemas.microsoft.com/office/drawing/2014/chart" uri="{C3380CC4-5D6E-409C-BE32-E72D297353CC}">
              <c16:uniqueId val="{00000004-A35B-48DE-9BE0-854445DDB6C9}"/>
            </c:ext>
          </c:extLst>
        </c:ser>
        <c:ser>
          <c:idx val="5"/>
          <c:order val="5"/>
          <c:tx>
            <c:strRef>
              <c:f>'Data in Graph form'!$B$54</c:f>
              <c:strCache>
                <c:ptCount val="1"/>
                <c:pt idx="0">
                  <c:v>Fall 2015</c:v>
                </c:pt>
              </c:strCache>
            </c:strRef>
          </c:tx>
          <c:invertIfNegative val="0"/>
          <c:cat>
            <c:multiLvlStrRef>
              <c:f>'Data in Graph form'!$R$47:$AF$48</c:f>
              <c:multiLvlStrCache>
                <c:ptCount val="15"/>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pt idx="12">
                    <c:v>Past 3 Months</c:v>
                  </c:pt>
                  <c:pt idx="13">
                    <c:v>Short Term (1 Year)</c:v>
                  </c:pt>
                  <c:pt idx="14">
                    <c:v>Long Term (2-5 Years)</c:v>
                  </c:pt>
                </c:lvl>
                <c:lvl>
                  <c:pt idx="0">
                    <c:v>Beef</c:v>
                  </c:pt>
                  <c:pt idx="3">
                    <c:v>Dairy</c:v>
                  </c:pt>
                  <c:pt idx="6">
                    <c:v>Hog</c:v>
                  </c:pt>
                  <c:pt idx="9">
                    <c:v>Poultry </c:v>
                  </c:pt>
                  <c:pt idx="12">
                    <c:v>Other</c:v>
                  </c:pt>
                </c:lvl>
              </c:multiLvlStrCache>
            </c:multiLvlStrRef>
          </c:cat>
          <c:val>
            <c:numRef>
              <c:f>'Data in Graph form'!$R$54:$AF$54</c:f>
              <c:numCache>
                <c:formatCode>0</c:formatCode>
                <c:ptCount val="15"/>
                <c:pt idx="0">
                  <c:v>90.909090909090907</c:v>
                </c:pt>
                <c:pt idx="1">
                  <c:v>117.64705882352942</c:v>
                </c:pt>
                <c:pt idx="2">
                  <c:v>138.23529411764704</c:v>
                </c:pt>
                <c:pt idx="3">
                  <c:v>91.304347826086968</c:v>
                </c:pt>
                <c:pt idx="4">
                  <c:v>129.16666666666669</c:v>
                </c:pt>
                <c:pt idx="5">
                  <c:v>141.66666666666669</c:v>
                </c:pt>
                <c:pt idx="6">
                  <c:v>100</c:v>
                </c:pt>
                <c:pt idx="7">
                  <c:v>122.72727272727273</c:v>
                </c:pt>
                <c:pt idx="8">
                  <c:v>127.27272727272727</c:v>
                </c:pt>
                <c:pt idx="9">
                  <c:v>107.69230769230769</c:v>
                </c:pt>
                <c:pt idx="10">
                  <c:v>118.75</c:v>
                </c:pt>
                <c:pt idx="11">
                  <c:v>112.5</c:v>
                </c:pt>
                <c:pt idx="12">
                  <c:v>106.25</c:v>
                </c:pt>
                <c:pt idx="13">
                  <c:v>121.05263157894737</c:v>
                </c:pt>
                <c:pt idx="14">
                  <c:v>126.31578947368421</c:v>
                </c:pt>
              </c:numCache>
            </c:numRef>
          </c:val>
          <c:extLst>
            <c:ext xmlns:c16="http://schemas.microsoft.com/office/drawing/2014/chart" uri="{C3380CC4-5D6E-409C-BE32-E72D297353CC}">
              <c16:uniqueId val="{00000005-A35B-48DE-9BE0-854445DDB6C9}"/>
            </c:ext>
          </c:extLst>
        </c:ser>
        <c:ser>
          <c:idx val="6"/>
          <c:order val="6"/>
          <c:tx>
            <c:strRef>
              <c:f>'Data in Graph form'!$B$55</c:f>
              <c:strCache>
                <c:ptCount val="1"/>
                <c:pt idx="0">
                  <c:v>Spring 2016</c:v>
                </c:pt>
              </c:strCache>
            </c:strRef>
          </c:tx>
          <c:invertIfNegative val="0"/>
          <c:cat>
            <c:multiLvlStrRef>
              <c:f>'Data in Graph form'!$R$47:$AF$48</c:f>
              <c:multiLvlStrCache>
                <c:ptCount val="15"/>
                <c:lvl>
                  <c:pt idx="0">
                    <c:v>Past 3 Months</c:v>
                  </c:pt>
                  <c:pt idx="1">
                    <c:v>Short Term (1 Year)</c:v>
                  </c:pt>
                  <c:pt idx="2">
                    <c:v>Long Term (2-5 Years)</c:v>
                  </c:pt>
                  <c:pt idx="3">
                    <c:v>Past 3 Months</c:v>
                  </c:pt>
                  <c:pt idx="4">
                    <c:v>Short Term (1 Year)</c:v>
                  </c:pt>
                  <c:pt idx="5">
                    <c:v>Long Term (2-5 Years)</c:v>
                  </c:pt>
                  <c:pt idx="6">
                    <c:v>Past 3 Months</c:v>
                  </c:pt>
                  <c:pt idx="7">
                    <c:v>Short Term (1 Year)</c:v>
                  </c:pt>
                  <c:pt idx="8">
                    <c:v>Long Term (2-5 Years)</c:v>
                  </c:pt>
                  <c:pt idx="9">
                    <c:v>Past 3 Months</c:v>
                  </c:pt>
                  <c:pt idx="10">
                    <c:v>Short Term (1 Year)</c:v>
                  </c:pt>
                  <c:pt idx="11">
                    <c:v>Long Term (2-5 Years)</c:v>
                  </c:pt>
                  <c:pt idx="12">
                    <c:v>Past 3 Months</c:v>
                  </c:pt>
                  <c:pt idx="13">
                    <c:v>Short Term (1 Year)</c:v>
                  </c:pt>
                  <c:pt idx="14">
                    <c:v>Long Term (2-5 Years)</c:v>
                  </c:pt>
                </c:lvl>
                <c:lvl>
                  <c:pt idx="0">
                    <c:v>Beef</c:v>
                  </c:pt>
                  <c:pt idx="3">
                    <c:v>Dairy</c:v>
                  </c:pt>
                  <c:pt idx="6">
                    <c:v>Hog</c:v>
                  </c:pt>
                  <c:pt idx="9">
                    <c:v>Poultry </c:v>
                  </c:pt>
                  <c:pt idx="12">
                    <c:v>Other</c:v>
                  </c:pt>
                </c:lvl>
              </c:multiLvlStrCache>
            </c:multiLvlStrRef>
          </c:cat>
          <c:val>
            <c:numRef>
              <c:f>'Data in Graph form'!$R$55:$AF$55</c:f>
              <c:numCache>
                <c:formatCode>0</c:formatCode>
                <c:ptCount val="15"/>
                <c:pt idx="0">
                  <c:v>134.48275862068965</c:v>
                </c:pt>
                <c:pt idx="1">
                  <c:v>148.27586206896552</c:v>
                </c:pt>
                <c:pt idx="2">
                  <c:v>126.66666666666666</c:v>
                </c:pt>
                <c:pt idx="3">
                  <c:v>126.31578947368421</c:v>
                </c:pt>
                <c:pt idx="4">
                  <c:v>150</c:v>
                </c:pt>
                <c:pt idx="5">
                  <c:v>126.31578947368421</c:v>
                </c:pt>
                <c:pt idx="6">
                  <c:v>100</c:v>
                </c:pt>
                <c:pt idx="7">
                  <c:v>105.55555555555556</c:v>
                </c:pt>
                <c:pt idx="8">
                  <c:v>118.75</c:v>
                </c:pt>
                <c:pt idx="9">
                  <c:v>100</c:v>
                </c:pt>
                <c:pt idx="10">
                  <c:v>100</c:v>
                </c:pt>
                <c:pt idx="11">
                  <c:v>100</c:v>
                </c:pt>
                <c:pt idx="12">
                  <c:v>100</c:v>
                </c:pt>
                <c:pt idx="13">
                  <c:v>113.33333333333333</c:v>
                </c:pt>
                <c:pt idx="14">
                  <c:v>106.66666666666667</c:v>
                </c:pt>
              </c:numCache>
            </c:numRef>
          </c:val>
          <c:extLst>
            <c:ext xmlns:c16="http://schemas.microsoft.com/office/drawing/2014/chart" uri="{C3380CC4-5D6E-409C-BE32-E72D297353CC}">
              <c16:uniqueId val="{00000006-A35B-48DE-9BE0-854445DDB6C9}"/>
            </c:ext>
          </c:extLst>
        </c:ser>
        <c:dLbls>
          <c:showLegendKey val="0"/>
          <c:showVal val="0"/>
          <c:showCatName val="0"/>
          <c:showSerName val="0"/>
          <c:showPercent val="0"/>
          <c:showBubbleSize val="0"/>
        </c:dLbls>
        <c:gapWidth val="150"/>
        <c:axId val="418304016"/>
        <c:axId val="418304408"/>
      </c:barChart>
      <c:catAx>
        <c:axId val="418304016"/>
        <c:scaling>
          <c:orientation val="minMax"/>
        </c:scaling>
        <c:delete val="0"/>
        <c:axPos val="b"/>
        <c:numFmt formatCode="General" sourceLinked="0"/>
        <c:majorTickMark val="out"/>
        <c:minorTickMark val="none"/>
        <c:tickLblPos val="low"/>
        <c:crossAx val="418304408"/>
        <c:crossesAt val="100"/>
        <c:auto val="1"/>
        <c:lblAlgn val="ctr"/>
        <c:lblOffset val="100"/>
        <c:noMultiLvlLbl val="0"/>
      </c:catAx>
      <c:valAx>
        <c:axId val="418304408"/>
        <c:scaling>
          <c:orientation val="minMax"/>
          <c:max val="200"/>
        </c:scaling>
        <c:delete val="0"/>
        <c:axPos val="l"/>
        <c:title>
          <c:tx>
            <c:rich>
              <a:bodyPr/>
              <a:lstStyle/>
              <a:p>
                <a:pPr>
                  <a:defRPr/>
                </a:pPr>
                <a:r>
                  <a:rPr lang="en-US"/>
                  <a:t>Diffusion Index</a:t>
                </a:r>
              </a:p>
            </c:rich>
          </c:tx>
          <c:overlay val="0"/>
        </c:title>
        <c:numFmt formatCode="General" sourceLinked="1"/>
        <c:majorTickMark val="out"/>
        <c:minorTickMark val="none"/>
        <c:tickLblPos val="low"/>
        <c:crossAx val="418304016"/>
        <c:crosses val="autoZero"/>
        <c:crossBetween val="between"/>
      </c:valAx>
    </c:plotArea>
    <c:legend>
      <c:legendPos val="b"/>
      <c:layout>
        <c:manualLayout>
          <c:xMode val="edge"/>
          <c:yMode val="edge"/>
          <c:x val="0.14401709401709403"/>
          <c:y val="0.57572758131381985"/>
          <c:w val="0.81239316239316228"/>
          <c:h val="5.324768370384797E-2"/>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1894474729121"/>
          <c:y val="3.2692931934744908E-2"/>
          <c:w val="0.86497678174843529"/>
          <c:h val="0.90801800172504921"/>
        </c:manualLayout>
      </c:layout>
      <c:barChart>
        <c:barDir val="col"/>
        <c:grouping val="clustered"/>
        <c:varyColors val="0"/>
        <c:ser>
          <c:idx val="0"/>
          <c:order val="0"/>
          <c:tx>
            <c:strRef>
              <c:f>'Data in Graph form'!$C$58</c:f>
              <c:strCache>
                <c:ptCount val="1"/>
                <c:pt idx="0">
                  <c:v>Fall 2013</c:v>
                </c:pt>
              </c:strCache>
            </c:strRef>
          </c:tx>
          <c:invertIfNegative val="0"/>
          <c:cat>
            <c:strRef>
              <c:f>'Data in Graph form'!$B$59:$B$61</c:f>
              <c:strCache>
                <c:ptCount val="3"/>
                <c:pt idx="0">
                  <c:v>Past 3 Months</c:v>
                </c:pt>
                <c:pt idx="1">
                  <c:v>Short Term(1 Year)</c:v>
                </c:pt>
                <c:pt idx="2">
                  <c:v>Long Term (2-5 Years)</c:v>
                </c:pt>
              </c:strCache>
            </c:strRef>
          </c:cat>
          <c:val>
            <c:numRef>
              <c:f>'Data in Graph form'!$C$59:$C$61</c:f>
              <c:numCache>
                <c:formatCode>0</c:formatCode>
                <c:ptCount val="3"/>
                <c:pt idx="0">
                  <c:v>138.98305084745763</c:v>
                </c:pt>
                <c:pt idx="1">
                  <c:v>105.08474576271188</c:v>
                </c:pt>
                <c:pt idx="2">
                  <c:v>64.406779661016955</c:v>
                </c:pt>
              </c:numCache>
            </c:numRef>
          </c:val>
          <c:extLst>
            <c:ext xmlns:c16="http://schemas.microsoft.com/office/drawing/2014/chart" uri="{C3380CC4-5D6E-409C-BE32-E72D297353CC}">
              <c16:uniqueId val="{00000000-9EAE-479A-A492-71B6EDC80A6E}"/>
            </c:ext>
          </c:extLst>
        </c:ser>
        <c:ser>
          <c:idx val="1"/>
          <c:order val="1"/>
          <c:tx>
            <c:strRef>
              <c:f>'Data in Graph form'!$D$58</c:f>
              <c:strCache>
                <c:ptCount val="1"/>
                <c:pt idx="0">
                  <c:v>Spring 2014</c:v>
                </c:pt>
              </c:strCache>
            </c:strRef>
          </c:tx>
          <c:invertIfNegative val="0"/>
          <c:cat>
            <c:strRef>
              <c:f>'Data in Graph form'!$B$59:$B$61</c:f>
              <c:strCache>
                <c:ptCount val="3"/>
                <c:pt idx="0">
                  <c:v>Past 3 Months</c:v>
                </c:pt>
                <c:pt idx="1">
                  <c:v>Short Term(1 Year)</c:v>
                </c:pt>
                <c:pt idx="2">
                  <c:v>Long Term (2-5 Years)</c:v>
                </c:pt>
              </c:strCache>
            </c:strRef>
          </c:cat>
          <c:val>
            <c:numRef>
              <c:f>'Data in Graph form'!$D$59:$D$61</c:f>
              <c:numCache>
                <c:formatCode>0</c:formatCode>
                <c:ptCount val="3"/>
                <c:pt idx="0">
                  <c:v>122.413793103448</c:v>
                </c:pt>
                <c:pt idx="1">
                  <c:v>82.758620689655174</c:v>
                </c:pt>
                <c:pt idx="2">
                  <c:v>53.448275862068975</c:v>
                </c:pt>
              </c:numCache>
            </c:numRef>
          </c:val>
          <c:extLst>
            <c:ext xmlns:c16="http://schemas.microsoft.com/office/drawing/2014/chart" uri="{C3380CC4-5D6E-409C-BE32-E72D297353CC}">
              <c16:uniqueId val="{00000001-9EAE-479A-A492-71B6EDC80A6E}"/>
            </c:ext>
          </c:extLst>
        </c:ser>
        <c:ser>
          <c:idx val="2"/>
          <c:order val="2"/>
          <c:tx>
            <c:strRef>
              <c:f>'Data in Graph form'!$E$58</c:f>
              <c:strCache>
                <c:ptCount val="1"/>
                <c:pt idx="0">
                  <c:v>Fall 2014</c:v>
                </c:pt>
              </c:strCache>
            </c:strRef>
          </c:tx>
          <c:invertIfNegative val="0"/>
          <c:cat>
            <c:strRef>
              <c:f>'Data in Graph form'!$B$59:$B$61</c:f>
              <c:strCache>
                <c:ptCount val="3"/>
                <c:pt idx="0">
                  <c:v>Past 3 Months</c:v>
                </c:pt>
                <c:pt idx="1">
                  <c:v>Short Term(1 Year)</c:v>
                </c:pt>
                <c:pt idx="2">
                  <c:v>Long Term (2-5 Years)</c:v>
                </c:pt>
              </c:strCache>
            </c:strRef>
          </c:cat>
          <c:val>
            <c:numRef>
              <c:f>'Data in Graph form'!$E$59:$E$61</c:f>
              <c:numCache>
                <c:formatCode>General</c:formatCode>
                <c:ptCount val="3"/>
                <c:pt idx="0">
                  <c:v>102</c:v>
                </c:pt>
                <c:pt idx="1">
                  <c:v>60</c:v>
                </c:pt>
                <c:pt idx="2">
                  <c:v>45</c:v>
                </c:pt>
              </c:numCache>
            </c:numRef>
          </c:val>
          <c:extLst>
            <c:ext xmlns:c16="http://schemas.microsoft.com/office/drawing/2014/chart" uri="{C3380CC4-5D6E-409C-BE32-E72D297353CC}">
              <c16:uniqueId val="{00000002-9EAE-479A-A492-71B6EDC80A6E}"/>
            </c:ext>
          </c:extLst>
        </c:ser>
        <c:ser>
          <c:idx val="3"/>
          <c:order val="3"/>
          <c:tx>
            <c:strRef>
              <c:f>'Data in Graph form'!$F$58</c:f>
              <c:strCache>
                <c:ptCount val="1"/>
                <c:pt idx="0">
                  <c:v>Spring 2015</c:v>
                </c:pt>
              </c:strCache>
            </c:strRef>
          </c:tx>
          <c:invertIfNegative val="0"/>
          <c:cat>
            <c:strRef>
              <c:f>'Data in Graph form'!$B$59:$B$61</c:f>
              <c:strCache>
                <c:ptCount val="3"/>
                <c:pt idx="0">
                  <c:v>Past 3 Months</c:v>
                </c:pt>
                <c:pt idx="1">
                  <c:v>Short Term(1 Year)</c:v>
                </c:pt>
                <c:pt idx="2">
                  <c:v>Long Term (2-5 Years)</c:v>
                </c:pt>
              </c:strCache>
            </c:strRef>
          </c:cat>
          <c:val>
            <c:numRef>
              <c:f>'Data in Graph form'!$F$59:$F$61</c:f>
              <c:numCache>
                <c:formatCode>0</c:formatCode>
                <c:ptCount val="3"/>
                <c:pt idx="0">
                  <c:v>72.972972972972968</c:v>
                </c:pt>
                <c:pt idx="1">
                  <c:v>40.54054054054054</c:v>
                </c:pt>
                <c:pt idx="2">
                  <c:v>37.837837837837832</c:v>
                </c:pt>
              </c:numCache>
            </c:numRef>
          </c:val>
          <c:extLst>
            <c:ext xmlns:c16="http://schemas.microsoft.com/office/drawing/2014/chart" uri="{C3380CC4-5D6E-409C-BE32-E72D297353CC}">
              <c16:uniqueId val="{00000003-9EAE-479A-A492-71B6EDC80A6E}"/>
            </c:ext>
          </c:extLst>
        </c:ser>
        <c:ser>
          <c:idx val="4"/>
          <c:order val="4"/>
          <c:tx>
            <c:strRef>
              <c:f>'Data in Graph form'!$G$58</c:f>
              <c:strCache>
                <c:ptCount val="1"/>
                <c:pt idx="0">
                  <c:v>Fall 2015</c:v>
                </c:pt>
              </c:strCache>
            </c:strRef>
          </c:tx>
          <c:invertIfNegative val="0"/>
          <c:cat>
            <c:strRef>
              <c:f>'Data in Graph form'!$B$59:$B$61</c:f>
              <c:strCache>
                <c:ptCount val="3"/>
                <c:pt idx="0">
                  <c:v>Past 3 Months</c:v>
                </c:pt>
                <c:pt idx="1">
                  <c:v>Short Term(1 Year)</c:v>
                </c:pt>
                <c:pt idx="2">
                  <c:v>Long Term (2-5 Years)</c:v>
                </c:pt>
              </c:strCache>
            </c:strRef>
          </c:cat>
          <c:val>
            <c:numRef>
              <c:f>'Data in Graph form'!$G$59:$G$61</c:f>
              <c:numCache>
                <c:formatCode>0</c:formatCode>
                <c:ptCount val="3"/>
                <c:pt idx="0">
                  <c:v>44.73684210526315</c:v>
                </c:pt>
                <c:pt idx="1">
                  <c:v>31.578947368421051</c:v>
                </c:pt>
                <c:pt idx="2">
                  <c:v>42.105263157894733</c:v>
                </c:pt>
              </c:numCache>
            </c:numRef>
          </c:val>
          <c:extLst>
            <c:ext xmlns:c16="http://schemas.microsoft.com/office/drawing/2014/chart" uri="{C3380CC4-5D6E-409C-BE32-E72D297353CC}">
              <c16:uniqueId val="{00000004-9EAE-479A-A492-71B6EDC80A6E}"/>
            </c:ext>
          </c:extLst>
        </c:ser>
        <c:ser>
          <c:idx val="5"/>
          <c:order val="5"/>
          <c:tx>
            <c:strRef>
              <c:f>'Data in Graph form'!$H$58</c:f>
              <c:strCache>
                <c:ptCount val="1"/>
                <c:pt idx="0">
                  <c:v>Spring 2016</c:v>
                </c:pt>
              </c:strCache>
            </c:strRef>
          </c:tx>
          <c:invertIfNegative val="0"/>
          <c:cat>
            <c:strRef>
              <c:f>'Data in Graph form'!$B$59:$B$61</c:f>
              <c:strCache>
                <c:ptCount val="3"/>
                <c:pt idx="0">
                  <c:v>Past 3 Months</c:v>
                </c:pt>
                <c:pt idx="1">
                  <c:v>Short Term(1 Year)</c:v>
                </c:pt>
                <c:pt idx="2">
                  <c:v>Long Term (2-5 Years)</c:v>
                </c:pt>
              </c:strCache>
            </c:strRef>
          </c:cat>
          <c:val>
            <c:numRef>
              <c:f>'Data in Graph form'!$H$59:$H$61</c:f>
              <c:numCache>
                <c:formatCode>0</c:formatCode>
                <c:ptCount val="3"/>
                <c:pt idx="0">
                  <c:v>58.064516129032249</c:v>
                </c:pt>
                <c:pt idx="1">
                  <c:v>16.129032258064512</c:v>
                </c:pt>
                <c:pt idx="2">
                  <c:v>38.709677419354847</c:v>
                </c:pt>
              </c:numCache>
            </c:numRef>
          </c:val>
          <c:extLst>
            <c:ext xmlns:c16="http://schemas.microsoft.com/office/drawing/2014/chart" uri="{C3380CC4-5D6E-409C-BE32-E72D297353CC}">
              <c16:uniqueId val="{00000005-9EAE-479A-A492-71B6EDC80A6E}"/>
            </c:ext>
          </c:extLst>
        </c:ser>
        <c:dLbls>
          <c:showLegendKey val="0"/>
          <c:showVal val="0"/>
          <c:showCatName val="0"/>
          <c:showSerName val="0"/>
          <c:showPercent val="0"/>
          <c:showBubbleSize val="0"/>
        </c:dLbls>
        <c:gapWidth val="150"/>
        <c:axId val="452109976"/>
        <c:axId val="452110368"/>
      </c:barChart>
      <c:catAx>
        <c:axId val="452109976"/>
        <c:scaling>
          <c:orientation val="minMax"/>
        </c:scaling>
        <c:delete val="0"/>
        <c:axPos val="b"/>
        <c:numFmt formatCode="General" sourceLinked="1"/>
        <c:majorTickMark val="out"/>
        <c:minorTickMark val="none"/>
        <c:tickLblPos val="low"/>
        <c:crossAx val="452110368"/>
        <c:crossesAt val="100"/>
        <c:auto val="1"/>
        <c:lblAlgn val="ctr"/>
        <c:lblOffset val="100"/>
        <c:noMultiLvlLbl val="0"/>
      </c:catAx>
      <c:valAx>
        <c:axId val="452110368"/>
        <c:scaling>
          <c:orientation val="minMax"/>
          <c:max val="200"/>
        </c:scaling>
        <c:delete val="0"/>
        <c:axPos val="l"/>
        <c:title>
          <c:tx>
            <c:rich>
              <a:bodyPr/>
              <a:lstStyle/>
              <a:p>
                <a:pPr>
                  <a:defRPr/>
                </a:pPr>
                <a:r>
                  <a:rPr lang="en-US"/>
                  <a:t>Diffusion Index</a:t>
                </a:r>
              </a:p>
            </c:rich>
          </c:tx>
          <c:overlay val="0"/>
        </c:title>
        <c:numFmt formatCode="0" sourceLinked="1"/>
        <c:majorTickMark val="out"/>
        <c:minorTickMark val="none"/>
        <c:tickLblPos val="nextTo"/>
        <c:crossAx val="452109976"/>
        <c:crosses val="autoZero"/>
        <c:crossBetween val="between"/>
      </c:valAx>
    </c:plotArea>
    <c:legend>
      <c:legendPos val="b"/>
      <c:layout>
        <c:manualLayout>
          <c:xMode val="edge"/>
          <c:yMode val="edge"/>
          <c:x val="0.17114139578706511"/>
          <c:y val="0.89374878272724756"/>
          <c:w val="0.76669139915202911"/>
          <c:h val="5.324768370384797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93DE3076-33C1-497F-8B16-BB458694B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1734</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Agricultural Lender Survey</vt:lpstr>
    </vt:vector>
  </TitlesOfParts>
  <Company>Microsoft</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Lender Survey</dc:title>
  <dc:subject>NACC Membership</dc:subject>
  <dc:creator>Brady Brewer, Allen Featherstone , Christine Wilson, and Brian Briggeman</dc:creator>
  <cp:lastModifiedBy>Thomas Reust</cp:lastModifiedBy>
  <cp:revision>2</cp:revision>
  <cp:lastPrinted>2016-04-13T18:49:00Z</cp:lastPrinted>
  <dcterms:created xsi:type="dcterms:W3CDTF">2016-05-05T15:08:00Z</dcterms:created>
  <dcterms:modified xsi:type="dcterms:W3CDTF">2016-05-05T15:08:00Z</dcterms:modified>
</cp:coreProperties>
</file>